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E623" w14:textId="6A620C7F" w:rsidR="003E7FC8" w:rsidRPr="00BD6FC6" w:rsidRDefault="003E7FC8" w:rsidP="009F44EC">
      <w:pPr>
        <w:pStyle w:val="Titre2"/>
        <w:rPr>
          <w:rFonts w:eastAsia="Calibri"/>
        </w:rPr>
      </w:pPr>
      <w:r w:rsidRPr="00BD6FC6">
        <w:rPr>
          <w:rFonts w:eastAsia="Calibri"/>
        </w:rPr>
        <w:t xml:space="preserve">Guide </w:t>
      </w:r>
      <w:r w:rsidR="005709F9" w:rsidRPr="00BD6FC6">
        <w:rPr>
          <w:rFonts w:eastAsia="Calibri"/>
        </w:rPr>
        <w:t xml:space="preserve">de </w:t>
      </w:r>
      <w:r w:rsidRPr="00BD6FC6">
        <w:rPr>
          <w:rFonts w:eastAsia="Calibri"/>
        </w:rPr>
        <w:t>présentation</w:t>
      </w:r>
    </w:p>
    <w:p w14:paraId="64A2EBDB" w14:textId="5DB4721F" w:rsidR="00286D9E" w:rsidRPr="001F7EB3" w:rsidRDefault="008D3D42" w:rsidP="00286D9E">
      <w:pPr>
        <w:pStyle w:val="Titre"/>
        <w:spacing w:after="0"/>
        <w:contextualSpacing w:val="0"/>
        <w:jc w:val="right"/>
        <w:rPr>
          <w:rFonts w:asciiTheme="minorHAnsi" w:hAnsiTheme="minorHAnsi" w:cstheme="minorHAnsi"/>
          <w:b/>
          <w:bCs/>
          <w:color w:val="007A53"/>
          <w:spacing w:val="15"/>
          <w:sz w:val="28"/>
          <w:szCs w:val="28"/>
        </w:rPr>
      </w:pPr>
      <w:r w:rsidRPr="001F7EB3">
        <w:rPr>
          <w:rFonts w:asciiTheme="minorHAnsi" w:hAnsiTheme="minorHAnsi" w:cstheme="minorHAnsi"/>
          <w:b/>
          <w:bCs/>
          <w:color w:val="007A53"/>
          <w:spacing w:val="15"/>
          <w:sz w:val="28"/>
          <w:szCs w:val="28"/>
        </w:rPr>
        <w:t>F</w:t>
      </w:r>
      <w:r>
        <w:rPr>
          <w:rFonts w:asciiTheme="minorHAnsi" w:hAnsiTheme="minorHAnsi" w:cstheme="minorHAnsi"/>
          <w:b/>
          <w:bCs/>
          <w:color w:val="007A53"/>
          <w:spacing w:val="15"/>
          <w:sz w:val="28"/>
          <w:szCs w:val="28"/>
        </w:rPr>
        <w:t>ONDS RÉGIONS ET RURALITÉ</w:t>
      </w:r>
    </w:p>
    <w:p w14:paraId="593F0AB2" w14:textId="77777777" w:rsidR="00286D9E" w:rsidRDefault="00286D9E" w:rsidP="00286D9E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  <w:r w:rsidRPr="00BD6FC6"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Volet 2 – Développement territorial</w:t>
      </w:r>
    </w:p>
    <w:p w14:paraId="628A3C35" w14:textId="77777777" w:rsidR="00286D9E" w:rsidRPr="00BD6FC6" w:rsidRDefault="00286D9E" w:rsidP="00286D9E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  <w:r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Volet 3 - Vitalisation</w:t>
      </w:r>
    </w:p>
    <w:p w14:paraId="6C34AC85" w14:textId="77777777" w:rsidR="00286D9E" w:rsidRPr="00286D9E" w:rsidRDefault="00286D9E" w:rsidP="00286D9E">
      <w:pPr>
        <w:pStyle w:val="En-tte"/>
        <w:jc w:val="right"/>
        <w:rPr>
          <w:rFonts w:eastAsia="Calibri" w:cstheme="minorHAnsi"/>
          <w:b/>
          <w:bCs/>
          <w:sz w:val="28"/>
          <w:szCs w:val="28"/>
        </w:rPr>
      </w:pPr>
      <w:r w:rsidRPr="00286D9E"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  <w:t>Municipalité</w:t>
      </w:r>
    </w:p>
    <w:p w14:paraId="3BCB6067" w14:textId="694B13EB" w:rsidR="00286D9E" w:rsidRDefault="00286D9E" w:rsidP="00286D9E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sz w:val="28"/>
          <w:szCs w:val="28"/>
        </w:rPr>
        <w:t>202</w:t>
      </w:r>
      <w:r w:rsidR="00B07DAE">
        <w:rPr>
          <w:rFonts w:eastAsia="Calibri" w:cstheme="minorHAnsi"/>
          <w:sz w:val="28"/>
          <w:szCs w:val="28"/>
        </w:rPr>
        <w:t>5</w:t>
      </w:r>
      <w:r>
        <w:rPr>
          <w:rFonts w:eastAsia="Calibri" w:cstheme="minorHAnsi"/>
          <w:sz w:val="28"/>
          <w:szCs w:val="28"/>
        </w:rPr>
        <w:t>-2028</w:t>
      </w:r>
    </w:p>
    <w:p w14:paraId="043E3374" w14:textId="77777777" w:rsidR="00286D9E" w:rsidRDefault="00286D9E" w:rsidP="00286D9E">
      <w:pPr>
        <w:rPr>
          <w:lang w:eastAsia="fr-CA"/>
        </w:rPr>
      </w:pPr>
    </w:p>
    <w:p w14:paraId="6D5643E5" w14:textId="00FDDD81" w:rsidR="002C1EBE" w:rsidRPr="00BD6FC6" w:rsidRDefault="00697A2E" w:rsidP="00BD6FC6">
      <w:pPr>
        <w:pStyle w:val="Titre1"/>
      </w:pPr>
      <w:r>
        <w:t xml:space="preserve">APPELS À PROJETS ET </w:t>
      </w:r>
      <w:r w:rsidR="002C1EBE" w:rsidRPr="00BD6FC6">
        <w:t>Sommes allouées</w:t>
      </w:r>
    </w:p>
    <w:p w14:paraId="65413A7E" w14:textId="2E2C32D6" w:rsidR="00F33729" w:rsidRDefault="00F33729" w:rsidP="00F33729">
      <w:r w:rsidRPr="00AA463C">
        <w:t>Pour le</w:t>
      </w:r>
      <w:r w:rsidRPr="001533D7">
        <w:rPr>
          <w:b/>
          <w:bCs/>
        </w:rPr>
        <w:t xml:space="preserve"> volet 2</w:t>
      </w:r>
      <w:r>
        <w:t xml:space="preserve"> Développement territorial, </w:t>
      </w:r>
      <w:r w:rsidR="00EC2F3A" w:rsidRPr="00F23492">
        <w:t>une somme annuelle</w:t>
      </w:r>
      <w:r w:rsidR="00EC2F3A" w:rsidRPr="00146AB8">
        <w:t xml:space="preserve"> </w:t>
      </w:r>
      <w:r w:rsidRPr="00146AB8">
        <w:t>de 450</w:t>
      </w:r>
      <w:r>
        <w:t> </w:t>
      </w:r>
      <w:r w:rsidRPr="00146AB8">
        <w:t>000</w:t>
      </w:r>
      <w:r>
        <w:t xml:space="preserve"> </w:t>
      </w:r>
      <w:r w:rsidRPr="00146AB8">
        <w:t>$</w:t>
      </w:r>
      <w:r>
        <w:t xml:space="preserve"> </w:t>
      </w:r>
      <w:r w:rsidR="00506773" w:rsidRPr="00F23492">
        <w:t xml:space="preserve">pendant </w:t>
      </w:r>
      <w:r w:rsidR="00506773">
        <w:t>trois</w:t>
      </w:r>
      <w:r w:rsidR="00506773" w:rsidRPr="00F23492">
        <w:t xml:space="preserve"> ans</w:t>
      </w:r>
      <w:r w:rsidRPr="00146AB8">
        <w:t xml:space="preserve"> est prévu</w:t>
      </w:r>
      <w:r w:rsidR="00506773">
        <w:t xml:space="preserve">e </w:t>
      </w:r>
      <w:r w:rsidRPr="00146AB8">
        <w:t xml:space="preserve">afin de soutenir les municipalités. L’enveloppe </w:t>
      </w:r>
      <w:r w:rsidR="00EC2F3A">
        <w:t xml:space="preserve">est </w:t>
      </w:r>
      <w:r w:rsidRPr="00146AB8">
        <w:t xml:space="preserve">affectée </w:t>
      </w:r>
      <w:r>
        <w:t>de façon à assurer une équité entre les municipalités.</w:t>
      </w:r>
    </w:p>
    <w:p w14:paraId="53B4E7FA" w14:textId="77777777" w:rsidR="00F33729" w:rsidRDefault="00F33729" w:rsidP="00F33729"/>
    <w:p w14:paraId="126DD39C" w14:textId="2A8BDBFD" w:rsidR="00F33729" w:rsidRDefault="00F33729" w:rsidP="00F33729">
      <w:r w:rsidRPr="00EC2F3A">
        <w:t>Pour le</w:t>
      </w:r>
      <w:r w:rsidRPr="001533D7">
        <w:rPr>
          <w:b/>
          <w:bCs/>
        </w:rPr>
        <w:t xml:space="preserve"> volet 3</w:t>
      </w:r>
      <w:r>
        <w:t xml:space="preserve"> </w:t>
      </w:r>
      <w:r w:rsidR="00EC2F3A">
        <w:t>V</w:t>
      </w:r>
      <w:r w:rsidRPr="00F23492">
        <w:t xml:space="preserve">italisation, une somme annuelle de 354 795 $ pendant </w:t>
      </w:r>
      <w:r>
        <w:t>trois</w:t>
      </w:r>
      <w:r w:rsidRPr="00F23492">
        <w:t xml:space="preserve"> ans est réservée pour les projets locaux des municipalités Q4 et Q5.</w:t>
      </w:r>
    </w:p>
    <w:p w14:paraId="4D8DD550" w14:textId="77777777" w:rsidR="00A33EE4" w:rsidRDefault="00A33EE4" w:rsidP="00F33729"/>
    <w:p w14:paraId="1A5BC75D" w14:textId="1063526A" w:rsidR="00F33729" w:rsidRPr="00146AB8" w:rsidRDefault="002B72F2" w:rsidP="00F33729">
      <w:r w:rsidRPr="00146AB8">
        <w:t>Les</w:t>
      </w:r>
      <w:r w:rsidRPr="00C74D22">
        <w:t xml:space="preserve"> municipalités peuv</w:t>
      </w:r>
      <w:r w:rsidRPr="00146AB8">
        <w:t>ent déposer leur projet</w:t>
      </w:r>
      <w:r w:rsidR="00C74D22">
        <w:t xml:space="preserve"> </w:t>
      </w:r>
      <w:r w:rsidR="00C74D22" w:rsidRPr="00C74D22">
        <w:rPr>
          <w:b/>
          <w:bCs/>
        </w:rPr>
        <w:t>en continu</w:t>
      </w:r>
      <w:r w:rsidR="00C74D22">
        <w:t>, et ce,</w:t>
      </w:r>
      <w:r w:rsidRPr="00146AB8">
        <w:t xml:space="preserve"> jusqu’au </w:t>
      </w:r>
      <w:r w:rsidR="00D0283B">
        <w:rPr>
          <w:b/>
          <w:bCs/>
        </w:rPr>
        <w:t>2</w:t>
      </w:r>
      <w:r w:rsidR="008E596D">
        <w:rPr>
          <w:b/>
          <w:bCs/>
        </w:rPr>
        <w:t>8 octobre</w:t>
      </w:r>
      <w:r w:rsidR="00A02A94">
        <w:rPr>
          <w:b/>
          <w:bCs/>
        </w:rPr>
        <w:t xml:space="preserve"> 202</w:t>
      </w:r>
      <w:r w:rsidR="008E596D">
        <w:rPr>
          <w:b/>
          <w:bCs/>
        </w:rPr>
        <w:t>7</w:t>
      </w:r>
      <w:r w:rsidRPr="00146AB8">
        <w:t xml:space="preserve">. </w:t>
      </w:r>
      <w:r w:rsidR="00C74D22">
        <w:t>Le</w:t>
      </w:r>
      <w:r w:rsidR="00F33729">
        <w:t xml:space="preserve"> tableau des affectations </w:t>
      </w:r>
      <w:r w:rsidR="00C06325">
        <w:t>définit</w:t>
      </w:r>
      <w:r w:rsidR="00F33729">
        <w:t xml:space="preserve"> les sommes maximales disponibles pour votre municipalité.</w:t>
      </w:r>
    </w:p>
    <w:p w14:paraId="5732AE44" w14:textId="42B219AD" w:rsidR="002C1EBE" w:rsidRPr="00965833" w:rsidRDefault="002C1EBE" w:rsidP="00BD6FC6">
      <w:pPr>
        <w:pStyle w:val="Titre1"/>
      </w:pPr>
      <w:r w:rsidRPr="00965833">
        <w:t>Objectif général</w:t>
      </w:r>
    </w:p>
    <w:p w14:paraId="0B67AE88" w14:textId="38BB6488" w:rsidR="00972CC5" w:rsidRDefault="00972CC5" w:rsidP="00972CC5">
      <w:pPr>
        <w:rPr>
          <w:rFonts w:cs="Calibri"/>
        </w:rPr>
      </w:pPr>
      <w:r w:rsidRPr="00972CC5">
        <w:rPr>
          <w:rFonts w:cs="Calibri"/>
        </w:rPr>
        <w:t>Les volets 2 et 3 du F</w:t>
      </w:r>
      <w:r w:rsidR="00312EFC">
        <w:rPr>
          <w:rFonts w:cs="Calibri"/>
        </w:rPr>
        <w:t xml:space="preserve">onds régions et ruralité </w:t>
      </w:r>
      <w:r w:rsidRPr="00972CC5">
        <w:rPr>
          <w:rFonts w:cs="Calibri"/>
        </w:rPr>
        <w:t xml:space="preserve">permettent d’appuyer la réalisation de projets structurants à l’échelle locale, en cohérence avec les intentions stratégiques des municipalités </w:t>
      </w:r>
      <w:r w:rsidRPr="00BB7BE3">
        <w:rPr>
          <w:rFonts w:cs="Calibri"/>
        </w:rPr>
        <w:t xml:space="preserve">(plan d’action, plan stratégique, plan de développement, etc.) </w:t>
      </w:r>
      <w:r w:rsidRPr="00972CC5">
        <w:rPr>
          <w:rFonts w:cs="Calibri"/>
        </w:rPr>
        <w:t>et les priorités d</w:t>
      </w:r>
      <w:r w:rsidR="00763117">
        <w:rPr>
          <w:rFonts w:cs="Calibri"/>
        </w:rPr>
        <w:t xml:space="preserve">’intervention </w:t>
      </w:r>
      <w:r w:rsidRPr="00972CC5">
        <w:rPr>
          <w:rFonts w:cs="Calibri"/>
        </w:rPr>
        <w:t xml:space="preserve">de la MRC des Appalaches. </w:t>
      </w:r>
    </w:p>
    <w:p w14:paraId="60D4BEF9" w14:textId="77777777" w:rsidR="00BB7BE3" w:rsidRPr="00972CC5" w:rsidRDefault="00BB7BE3" w:rsidP="00972CC5">
      <w:pPr>
        <w:rPr>
          <w:rFonts w:cs="Calibri"/>
        </w:rPr>
      </w:pPr>
    </w:p>
    <w:p w14:paraId="239F463D" w14:textId="40C1A120" w:rsidR="00972CC5" w:rsidRPr="00972CC5" w:rsidRDefault="00972CC5" w:rsidP="00972CC5">
      <w:pPr>
        <w:rPr>
          <w:rFonts w:cs="Calibri"/>
        </w:rPr>
      </w:pPr>
      <w:r w:rsidRPr="00972CC5">
        <w:rPr>
          <w:rFonts w:cs="Calibri"/>
        </w:rPr>
        <w:t>La MRC soutien</w:t>
      </w:r>
      <w:r w:rsidR="00BB7BE3">
        <w:rPr>
          <w:rFonts w:cs="Calibri"/>
        </w:rPr>
        <w:t>t</w:t>
      </w:r>
      <w:r w:rsidRPr="00972CC5">
        <w:rPr>
          <w:rFonts w:cs="Calibri"/>
        </w:rPr>
        <w:t xml:space="preserve"> les projets encourageant la vitalité économique, culturelle, sociale et environnementale du territoire.</w:t>
      </w:r>
    </w:p>
    <w:p w14:paraId="041D5C25" w14:textId="6A09B246" w:rsidR="00472690" w:rsidRPr="00965833" w:rsidRDefault="00DF5ED2" w:rsidP="00BD6FC6">
      <w:pPr>
        <w:pStyle w:val="Titre1"/>
      </w:pPr>
      <w:r w:rsidRPr="00965833">
        <w:t>Priorité</w:t>
      </w:r>
      <w:r w:rsidR="007A4FE5" w:rsidRPr="00965833">
        <w:t>s</w:t>
      </w:r>
      <w:r w:rsidRPr="00965833">
        <w:t xml:space="preserve"> </w:t>
      </w:r>
      <w:r w:rsidR="007A4FE5" w:rsidRPr="00965833">
        <w:t>d’intervention</w:t>
      </w:r>
      <w:r w:rsidRPr="00965833">
        <w:t xml:space="preserve"> de la MRC des Appalaches</w:t>
      </w:r>
    </w:p>
    <w:p w14:paraId="720FDAD6" w14:textId="7D10526C" w:rsidR="00103F02" w:rsidRPr="00965833" w:rsidRDefault="005709F9" w:rsidP="00BD6FC6">
      <w:r>
        <w:t xml:space="preserve">Les </w:t>
      </w:r>
      <w:r w:rsidR="00697A2E">
        <w:t xml:space="preserve">5 </w:t>
      </w:r>
      <w:r>
        <w:t xml:space="preserve">priorités d’intervention énoncées ci-dessous </w:t>
      </w:r>
      <w:r w:rsidR="006461B2">
        <w:t xml:space="preserve">orientent la façon dont les </w:t>
      </w:r>
      <w:r w:rsidR="00697A2E">
        <w:t>sommes du FRR</w:t>
      </w:r>
      <w:r w:rsidR="006461B2">
        <w:t xml:space="preserve"> sont utilisées</w:t>
      </w:r>
      <w:r w:rsidR="00697A2E">
        <w:t>.</w:t>
      </w:r>
      <w:r>
        <w:t xml:space="preserve"> </w:t>
      </w:r>
      <w:r w:rsidR="00103F02" w:rsidRPr="00965833">
        <w:t>Elles permettent d’évaluer l’</w:t>
      </w:r>
      <w:r w:rsidR="00697A2E">
        <w:t>aspect</w:t>
      </w:r>
      <w:r w:rsidR="00103F02" w:rsidRPr="00965833">
        <w:t xml:space="preserve"> structurant des </w:t>
      </w:r>
      <w:r>
        <w:t>initiatives</w:t>
      </w:r>
      <w:r w:rsidR="00103F02" w:rsidRPr="00965833">
        <w:t xml:space="preserve"> et des </w:t>
      </w:r>
      <w:r>
        <w:t>projets</w:t>
      </w:r>
      <w:r w:rsidR="00103F02" w:rsidRPr="00965833">
        <w:t xml:space="preserve"> soumis.</w:t>
      </w:r>
    </w:p>
    <w:p w14:paraId="013F25A5" w14:textId="4B9CB7DD" w:rsidR="00472690" w:rsidRPr="00965833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Favoriser les projets structurants, notamment le positionnement plein air, la stratégie de l’héritage minier, l’entrepreneuriat, le repreneuriat et les technologies</w:t>
      </w:r>
      <w:r w:rsidR="00F75693" w:rsidRPr="00965833">
        <w:t>;</w:t>
      </w:r>
    </w:p>
    <w:p w14:paraId="32ABA9EE" w14:textId="25056D71" w:rsidR="00472690" w:rsidRPr="00965833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Bâtir des communautés plus attractives et en santé</w:t>
      </w:r>
      <w:r w:rsidR="00F75693" w:rsidRPr="00965833">
        <w:t>;</w:t>
      </w:r>
    </w:p>
    <w:p w14:paraId="6DC50823" w14:textId="41C90EE9" w:rsidR="00472690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Accroître la promotion territoriale par des projets de marketing plein air, de valorisation des ressources et de patrimoine minier et d’attraction des citoyens</w:t>
      </w:r>
      <w:r w:rsidR="00F75693" w:rsidRPr="00965833">
        <w:t>;</w:t>
      </w:r>
    </w:p>
    <w:p w14:paraId="59504E0C" w14:textId="4F536B38" w:rsidR="009863DB" w:rsidRPr="009863DB" w:rsidRDefault="009863DB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814ED8">
        <w:t xml:space="preserve">Mettre en place les outils pour assurer la réussite d’intervention, notamment par l’accompagnement de la MRC, la communication de la vision de la MRC ainsi que </w:t>
      </w:r>
      <w:r w:rsidR="00697A2E">
        <w:t xml:space="preserve">par </w:t>
      </w:r>
      <w:r w:rsidRPr="00814ED8">
        <w:t>le regroupement et l’implication des acteurs autour de la vision</w:t>
      </w:r>
      <w:r>
        <w:t>;</w:t>
      </w:r>
    </w:p>
    <w:p w14:paraId="3CB6359D" w14:textId="6BB754F7" w:rsidR="00472690" w:rsidRDefault="00DC13C7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Assurer la vitalisation du territoire</w:t>
      </w:r>
      <w:r w:rsidR="004A7EC8">
        <w:t xml:space="preserve"> (voir section 4.2</w:t>
      </w:r>
      <w:r w:rsidR="00532A2D">
        <w:t xml:space="preserve"> pour connaître les enjeux ciblés</w:t>
      </w:r>
      <w:r w:rsidR="00B253AD">
        <w:t>)</w:t>
      </w:r>
      <w:r w:rsidR="00F75693" w:rsidRPr="00965833">
        <w:t>.</w:t>
      </w:r>
    </w:p>
    <w:p w14:paraId="732E8319" w14:textId="2B0E0432" w:rsidR="00DF5ED2" w:rsidRPr="00965833" w:rsidRDefault="00DF5ED2" w:rsidP="00BD6FC6">
      <w:pPr>
        <w:pStyle w:val="Titre1"/>
      </w:pPr>
      <w:r w:rsidRPr="00965833">
        <w:lastRenderedPageBreak/>
        <w:t xml:space="preserve">Admissibilité des </w:t>
      </w:r>
      <w:r w:rsidR="00103F02" w:rsidRPr="00965833">
        <w:t>promoteurs</w:t>
      </w:r>
    </w:p>
    <w:p w14:paraId="64F8AEE4" w14:textId="55E01270" w:rsidR="00571E76" w:rsidRPr="00571E76" w:rsidRDefault="00571E76" w:rsidP="00571E76">
      <w:pPr>
        <w:pStyle w:val="Titre2"/>
      </w:pPr>
      <w:r w:rsidRPr="00571E76">
        <w:t>Volet 2 – Développement territorial</w:t>
      </w:r>
    </w:p>
    <w:p w14:paraId="725EB0ED" w14:textId="5320C79E" w:rsidR="00332F42" w:rsidRDefault="00103F02" w:rsidP="00BD6FC6">
      <w:r w:rsidRPr="00546E82">
        <w:t xml:space="preserve">Les </w:t>
      </w:r>
      <w:r w:rsidR="00571E76">
        <w:t>19 municipalités de la MRC des Appalaches sont admissibles au F</w:t>
      </w:r>
      <w:r w:rsidR="00312EFC">
        <w:t>RR volet 2.</w:t>
      </w:r>
    </w:p>
    <w:p w14:paraId="30BF0EF0" w14:textId="4B5609AA" w:rsidR="00312EFC" w:rsidRPr="00571E76" w:rsidRDefault="00312EFC" w:rsidP="00312EFC">
      <w:pPr>
        <w:pStyle w:val="Titre2"/>
      </w:pPr>
      <w:r w:rsidRPr="00571E76">
        <w:t xml:space="preserve">Volet </w:t>
      </w:r>
      <w:r w:rsidR="00D25E9A">
        <w:t>3</w:t>
      </w:r>
      <w:r w:rsidRPr="00571E76">
        <w:t xml:space="preserve"> – </w:t>
      </w:r>
      <w:r w:rsidR="00D25E9A">
        <w:t>Vit</w:t>
      </w:r>
      <w:r w:rsidRPr="00571E76">
        <w:t>al</w:t>
      </w:r>
      <w:r w:rsidR="00D25E9A">
        <w:t>isation</w:t>
      </w:r>
    </w:p>
    <w:p w14:paraId="0EAA9435" w14:textId="64DB0A1B" w:rsidR="00E479E4" w:rsidRDefault="00E479E4" w:rsidP="00E479E4">
      <w:r>
        <w:t>Seules les municipalités classées Q4 et Q5 sont admissibles au FRR volet 3. Ces indices de vitalité économique sont produits pas le ministère des Affaires municipales et de l’Habitation (MAMH).</w:t>
      </w:r>
    </w:p>
    <w:p w14:paraId="2092BA6D" w14:textId="77777777" w:rsidR="00E479E4" w:rsidRDefault="00E479E4" w:rsidP="00E479E4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55A1E" w:rsidRPr="005F6708" w14:paraId="0C3CBAAD" w14:textId="77777777" w:rsidTr="00CC5CF2">
        <w:trPr>
          <w:trHeight w:val="283"/>
        </w:trPr>
        <w:tc>
          <w:tcPr>
            <w:tcW w:w="9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8E02B" w14:textId="58F50F79" w:rsidR="00255A1E" w:rsidRPr="005F6708" w:rsidRDefault="00255A1E" w:rsidP="00CC5CF2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5F6708">
              <w:rPr>
                <w:rFonts w:cstheme="minorHAnsi"/>
                <w:b/>
              </w:rPr>
              <w:t xml:space="preserve">Municipalités visées par le volet </w:t>
            </w:r>
            <w:r>
              <w:rPr>
                <w:rFonts w:cstheme="minorHAnsi"/>
                <w:b/>
              </w:rPr>
              <w:t>vitalisation</w:t>
            </w:r>
          </w:p>
        </w:tc>
      </w:tr>
      <w:tr w:rsidR="00255A1E" w14:paraId="3E51E344" w14:textId="77777777" w:rsidTr="00CC5CF2">
        <w:trPr>
          <w:trHeight w:val="826"/>
        </w:trPr>
        <w:tc>
          <w:tcPr>
            <w:tcW w:w="3131" w:type="dxa"/>
            <w:tcBorders>
              <w:top w:val="single" w:sz="4" w:space="0" w:color="auto"/>
            </w:tcBorders>
          </w:tcPr>
          <w:p w14:paraId="10D2254A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Beaulac-Garthby</w:t>
            </w:r>
          </w:p>
          <w:p w14:paraId="68ED4253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 xml:space="preserve">Disraeli </w:t>
            </w:r>
            <w:r>
              <w:rPr>
                <w:rFonts w:cstheme="minorHAnsi"/>
              </w:rPr>
              <w:t>(</w:t>
            </w:r>
            <w:r w:rsidRPr="005F6708">
              <w:rPr>
                <w:rFonts w:cstheme="minorHAnsi"/>
              </w:rPr>
              <w:t>Ville</w:t>
            </w:r>
            <w:r>
              <w:rPr>
                <w:rFonts w:cstheme="minorHAnsi"/>
              </w:rPr>
              <w:t>)</w:t>
            </w:r>
          </w:p>
          <w:p w14:paraId="71165E10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Disraeli</w:t>
            </w:r>
            <w:r>
              <w:rPr>
                <w:rFonts w:cstheme="minorHAnsi"/>
              </w:rPr>
              <w:t xml:space="preserve"> (Paroisse)</w:t>
            </w:r>
          </w:p>
          <w:p w14:paraId="02238BF2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Saint-Adrien-d’Irlande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28BC6768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Saint-Fortuna</w:t>
            </w:r>
            <w:r>
              <w:rPr>
                <w:rFonts w:cstheme="minorHAnsi"/>
              </w:rPr>
              <w:t>t</w:t>
            </w:r>
          </w:p>
          <w:p w14:paraId="5ED7C5DE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Saint-Jacques-le-Majeur</w:t>
            </w:r>
            <w:r>
              <w:rPr>
                <w:rFonts w:cstheme="minorHAnsi"/>
              </w:rPr>
              <w:t>-de-Wolfestown</w:t>
            </w:r>
          </w:p>
          <w:p w14:paraId="16CEB243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Saint-Jean-de-Brébeuf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12997B4D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Saint-Joseph-de-Coleraine</w:t>
            </w:r>
          </w:p>
          <w:p w14:paraId="251BECFA" w14:textId="77777777" w:rsidR="00255A1E" w:rsidRPr="00763117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</w:t>
            </w:r>
            <w:r w:rsidRPr="00763117">
              <w:rPr>
                <w:rFonts w:cstheme="minorHAnsi"/>
              </w:rPr>
              <w:t xml:space="preserve">t-Julien </w:t>
            </w:r>
          </w:p>
          <w:p w14:paraId="3B5EE88B" w14:textId="77777777" w:rsidR="00255A1E" w:rsidRPr="00763117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763117">
              <w:rPr>
                <w:rFonts w:cstheme="minorHAnsi"/>
              </w:rPr>
              <w:t xml:space="preserve">Sainte-Praxède </w:t>
            </w:r>
          </w:p>
          <w:p w14:paraId="430BFF67" w14:textId="77777777" w:rsidR="00255A1E" w:rsidRDefault="00255A1E" w:rsidP="00CC5CF2">
            <w:pPr>
              <w:keepNext/>
              <w:spacing w:before="60" w:after="60"/>
              <w:rPr>
                <w:rFonts w:cstheme="minorHAnsi"/>
              </w:rPr>
            </w:pPr>
            <w:r w:rsidRPr="00763117">
              <w:rPr>
                <w:rFonts w:cstheme="minorHAnsi"/>
              </w:rPr>
              <w:t>Thetford Mines</w:t>
            </w:r>
          </w:p>
        </w:tc>
      </w:tr>
    </w:tbl>
    <w:p w14:paraId="50082CF1" w14:textId="77777777" w:rsidR="00E479E4" w:rsidRDefault="00E479E4" w:rsidP="00E479E4"/>
    <w:p w14:paraId="6077C803" w14:textId="3440B461" w:rsidR="00E479E4" w:rsidRDefault="00E479E4" w:rsidP="00E479E4">
      <w:r>
        <w:t>Les projets déposés au volet 3 doivent répondre à au moins un d</w:t>
      </w:r>
      <w:r w:rsidRPr="004548CB">
        <w:t xml:space="preserve">es enjeux suivants : </w:t>
      </w:r>
    </w:p>
    <w:p w14:paraId="6E40F3CD" w14:textId="77777777" w:rsidR="00E479E4" w:rsidRDefault="00E479E4" w:rsidP="00E479E4">
      <w:pPr>
        <w:pStyle w:val="Paragraphedeliste"/>
        <w:numPr>
          <w:ilvl w:val="0"/>
          <w:numId w:val="40"/>
        </w:numPr>
      </w:pPr>
      <w:r w:rsidRPr="004548CB">
        <w:t>La mobilité et l’accessibilité aux services</w:t>
      </w:r>
      <w:r>
        <w:t>;</w:t>
      </w:r>
    </w:p>
    <w:p w14:paraId="4CD60212" w14:textId="77777777" w:rsidR="00E479E4" w:rsidRDefault="00E479E4" w:rsidP="00E479E4">
      <w:pPr>
        <w:pStyle w:val="Paragraphedeliste"/>
        <w:numPr>
          <w:ilvl w:val="0"/>
          <w:numId w:val="40"/>
        </w:numPr>
      </w:pPr>
      <w:r w:rsidRPr="004548CB">
        <w:t>La réussite éducative</w:t>
      </w:r>
      <w:r>
        <w:t>;</w:t>
      </w:r>
    </w:p>
    <w:p w14:paraId="491A5D75" w14:textId="77777777" w:rsidR="00E479E4" w:rsidRDefault="00E479E4" w:rsidP="00E479E4">
      <w:pPr>
        <w:pStyle w:val="Paragraphedeliste"/>
        <w:numPr>
          <w:ilvl w:val="0"/>
          <w:numId w:val="40"/>
        </w:numPr>
      </w:pPr>
      <w:r w:rsidRPr="004548CB">
        <w:t>Le développement du logement abordable</w:t>
      </w:r>
      <w:r>
        <w:t>;</w:t>
      </w:r>
    </w:p>
    <w:p w14:paraId="13802115" w14:textId="77777777" w:rsidR="00E479E4" w:rsidRDefault="00E479E4" w:rsidP="00E479E4">
      <w:pPr>
        <w:pStyle w:val="Paragraphedeliste"/>
        <w:numPr>
          <w:ilvl w:val="0"/>
          <w:numId w:val="40"/>
        </w:numPr>
      </w:pPr>
      <w:r>
        <w:t>L</w:t>
      </w:r>
      <w:r w:rsidRPr="004548CB">
        <w:t>es initiatives en sécurité alimentaire</w:t>
      </w:r>
      <w:r>
        <w:t>;</w:t>
      </w:r>
    </w:p>
    <w:p w14:paraId="3581D25C" w14:textId="77777777" w:rsidR="00E479E4" w:rsidRDefault="00E479E4" w:rsidP="00E479E4">
      <w:pPr>
        <w:pStyle w:val="Paragraphedeliste"/>
        <w:numPr>
          <w:ilvl w:val="0"/>
          <w:numId w:val="40"/>
        </w:numPr>
      </w:pPr>
      <w:r>
        <w:t>L</w:t>
      </w:r>
      <w:r w:rsidRPr="004548CB">
        <w:t>e réseau communautaire et l’inclusion social</w:t>
      </w:r>
      <w:r>
        <w:t>e;</w:t>
      </w:r>
      <w:r w:rsidRPr="004548CB">
        <w:t xml:space="preserve"> </w:t>
      </w:r>
    </w:p>
    <w:p w14:paraId="506FE1F2" w14:textId="77777777" w:rsidR="00E479E4" w:rsidRPr="00BB0C3D" w:rsidRDefault="00E479E4" w:rsidP="00E479E4">
      <w:pPr>
        <w:pStyle w:val="Paragraphedeliste"/>
        <w:numPr>
          <w:ilvl w:val="0"/>
          <w:numId w:val="40"/>
        </w:numPr>
      </w:pPr>
      <w:r>
        <w:t>L’</w:t>
      </w:r>
      <w:r w:rsidRPr="004548CB">
        <w:t>environnement physique et les milieux de vie attrayants.</w:t>
      </w:r>
    </w:p>
    <w:p w14:paraId="29B21E9C" w14:textId="106E6D86" w:rsidR="00ED7BE1" w:rsidRPr="00965833" w:rsidRDefault="00DF5ED2" w:rsidP="00BD6FC6">
      <w:pPr>
        <w:pStyle w:val="Titre1"/>
      </w:pPr>
      <w:r w:rsidRPr="00965833">
        <w:t>Admissibilité des projets</w:t>
      </w:r>
    </w:p>
    <w:p w14:paraId="41DD6A2D" w14:textId="7696F973" w:rsidR="00ED7BE1" w:rsidRPr="00BD6FC6" w:rsidRDefault="00A8045C" w:rsidP="00BD6FC6">
      <w:pPr>
        <w:rPr>
          <w:kern w:val="0"/>
          <w:szCs w:val="22"/>
        </w:rPr>
      </w:pPr>
      <w:r w:rsidRPr="00BD6FC6">
        <w:rPr>
          <w:szCs w:val="22"/>
        </w:rPr>
        <w:t xml:space="preserve">Les </w:t>
      </w:r>
      <w:r w:rsidR="00BE11C5" w:rsidRPr="00BD6FC6">
        <w:rPr>
          <w:szCs w:val="22"/>
        </w:rPr>
        <w:t xml:space="preserve">projets </w:t>
      </w:r>
      <w:r w:rsidR="00BE11C5" w:rsidRPr="00BD6FC6">
        <w:rPr>
          <w:szCs w:val="22"/>
          <w:u w:val="single"/>
        </w:rPr>
        <w:t>admissibles</w:t>
      </w:r>
      <w:r w:rsidR="00287122" w:rsidRPr="00BD6FC6">
        <w:rPr>
          <w:szCs w:val="22"/>
        </w:rPr>
        <w:t xml:space="preserve"> </w:t>
      </w:r>
      <w:r w:rsidR="008D0322" w:rsidRPr="00BD6FC6">
        <w:rPr>
          <w:szCs w:val="22"/>
        </w:rPr>
        <w:t>do</w:t>
      </w:r>
      <w:r w:rsidR="00080CB5">
        <w:rPr>
          <w:szCs w:val="22"/>
        </w:rPr>
        <w:t>ive</w:t>
      </w:r>
      <w:r w:rsidR="008D0322" w:rsidRPr="00BD6FC6">
        <w:rPr>
          <w:szCs w:val="22"/>
        </w:rPr>
        <w:t xml:space="preserve">nt </w:t>
      </w:r>
      <w:r w:rsidR="00287122" w:rsidRPr="00BD6FC6">
        <w:rPr>
          <w:szCs w:val="22"/>
        </w:rPr>
        <w:t>:</w:t>
      </w:r>
    </w:p>
    <w:p w14:paraId="4EEB9769" w14:textId="0EA27AE0" w:rsidR="00287122" w:rsidRPr="00F57D44" w:rsidRDefault="00287122" w:rsidP="00F57D44">
      <w:pPr>
        <w:pStyle w:val="Paragraphedeliste"/>
        <w:numPr>
          <w:ilvl w:val="0"/>
          <w:numId w:val="41"/>
        </w:numPr>
        <w:rPr>
          <w:rFonts w:cs="Calibri"/>
        </w:rPr>
      </w:pPr>
      <w:r w:rsidRPr="00F57D44">
        <w:rPr>
          <w:rFonts w:cs="Calibri"/>
        </w:rPr>
        <w:t xml:space="preserve">Répondre à au moins une des priorités d’intervention de la MRC </w:t>
      </w:r>
      <w:r w:rsidR="00080CB5" w:rsidRPr="00F57D44">
        <w:rPr>
          <w:rFonts w:cs="Calibri"/>
        </w:rPr>
        <w:t>(voir section 3);</w:t>
      </w:r>
    </w:p>
    <w:p w14:paraId="6825CC22" w14:textId="77777777" w:rsidR="00F57D44" w:rsidRPr="00F57D44" w:rsidRDefault="00F57D44" w:rsidP="00F57D44">
      <w:pPr>
        <w:pStyle w:val="Paragraphedeliste"/>
        <w:numPr>
          <w:ilvl w:val="0"/>
          <w:numId w:val="41"/>
        </w:numPr>
        <w:rPr>
          <w:rFonts w:cs="Calibri"/>
        </w:rPr>
      </w:pPr>
      <w:r w:rsidRPr="00F57D44">
        <w:rPr>
          <w:rFonts w:cs="Calibri"/>
        </w:rPr>
        <w:t>Émaner d’une démarche de planification existante ou d’une nouvelle réflexion stratégique permettant d’associer l’enjeu, la vision et la solution proposée dans un tout cohérent et bien réfléchi;</w:t>
      </w:r>
    </w:p>
    <w:p w14:paraId="0D153216" w14:textId="77777777" w:rsidR="00F57D44" w:rsidRPr="00F57D44" w:rsidRDefault="00F57D44" w:rsidP="00F57D44">
      <w:pPr>
        <w:pStyle w:val="Paragraphedeliste"/>
        <w:numPr>
          <w:ilvl w:val="0"/>
          <w:numId w:val="41"/>
        </w:numPr>
        <w:rPr>
          <w:rFonts w:cs="Calibri"/>
        </w:rPr>
      </w:pPr>
      <w:r w:rsidRPr="00F57D44">
        <w:rPr>
          <w:rFonts w:cs="Calibri"/>
        </w:rPr>
        <w:t>Viser à soutenir la vitalité économique, culturelle, sociale et environnementale des milieux de vie;</w:t>
      </w:r>
    </w:p>
    <w:p w14:paraId="012F2188" w14:textId="77777777" w:rsidR="00F57D44" w:rsidRPr="00F57D44" w:rsidRDefault="00F57D44" w:rsidP="00F57D44">
      <w:pPr>
        <w:pStyle w:val="Paragraphedeliste"/>
        <w:numPr>
          <w:ilvl w:val="0"/>
          <w:numId w:val="41"/>
        </w:numPr>
        <w:rPr>
          <w:rFonts w:cs="Calibri"/>
        </w:rPr>
      </w:pPr>
      <w:r w:rsidRPr="00F57D44">
        <w:rPr>
          <w:rFonts w:cs="Calibri"/>
        </w:rPr>
        <w:t>Faire l’objet d’un consensus auprès du conseil municipal;</w:t>
      </w:r>
    </w:p>
    <w:p w14:paraId="3EF10557" w14:textId="600877C1" w:rsidR="00287122" w:rsidRPr="00F57D44" w:rsidRDefault="008D0322" w:rsidP="00F57D44">
      <w:pPr>
        <w:pStyle w:val="Paragraphedeliste"/>
        <w:numPr>
          <w:ilvl w:val="0"/>
          <w:numId w:val="41"/>
        </w:numPr>
        <w:rPr>
          <w:rFonts w:cs="Calibri"/>
        </w:rPr>
      </w:pPr>
      <w:r w:rsidRPr="00F57D44">
        <w:rPr>
          <w:rFonts w:cs="Calibri"/>
        </w:rPr>
        <w:t xml:space="preserve">Joindre à leur demande </w:t>
      </w:r>
      <w:r w:rsidR="00080CB5" w:rsidRPr="00F57D44">
        <w:rPr>
          <w:rFonts w:cs="Calibri"/>
        </w:rPr>
        <w:t xml:space="preserve">tous </w:t>
      </w:r>
      <w:r w:rsidRPr="00F57D44">
        <w:rPr>
          <w:rFonts w:cs="Calibri"/>
        </w:rPr>
        <w:t>les documents exigés.</w:t>
      </w:r>
      <w:r w:rsidR="00957CC2" w:rsidRPr="00F57D44">
        <w:rPr>
          <w:rFonts w:cs="Calibri"/>
        </w:rPr>
        <w:t xml:space="preserve"> Dans le cas d’un projet d’acquisition ou de construction, des soumissions d</w:t>
      </w:r>
      <w:r w:rsidR="00080CB5" w:rsidRPr="00F57D44">
        <w:rPr>
          <w:rFonts w:cs="Calibri"/>
        </w:rPr>
        <w:t xml:space="preserve">oivent </w:t>
      </w:r>
      <w:r w:rsidR="00957CC2" w:rsidRPr="00F57D44">
        <w:rPr>
          <w:rFonts w:cs="Calibri"/>
        </w:rPr>
        <w:t xml:space="preserve">être </w:t>
      </w:r>
      <w:r w:rsidR="00080CB5" w:rsidRPr="00F57D44">
        <w:rPr>
          <w:rFonts w:cs="Calibri"/>
        </w:rPr>
        <w:t>fournies</w:t>
      </w:r>
      <w:r w:rsidR="00287122" w:rsidRPr="00F57D44">
        <w:rPr>
          <w:rFonts w:cs="Calibri"/>
        </w:rPr>
        <w:t>;</w:t>
      </w:r>
    </w:p>
    <w:p w14:paraId="6808FBCB" w14:textId="6AD87265" w:rsidR="00957CC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>Être</w:t>
      </w:r>
      <w:r w:rsidR="00287122" w:rsidRPr="00080CB5">
        <w:rPr>
          <w:szCs w:val="22"/>
        </w:rPr>
        <w:t xml:space="preserve"> conforme </w:t>
      </w:r>
      <w:r w:rsidR="00080CB5">
        <w:rPr>
          <w:szCs w:val="22"/>
        </w:rPr>
        <w:t xml:space="preserve">à la règlementation (normes, </w:t>
      </w:r>
      <w:r w:rsidR="00287122" w:rsidRPr="00080CB5">
        <w:rPr>
          <w:szCs w:val="22"/>
        </w:rPr>
        <w:t>règlements</w:t>
      </w:r>
      <w:r w:rsidR="00080CB5">
        <w:rPr>
          <w:szCs w:val="22"/>
        </w:rPr>
        <w:t xml:space="preserve">, lois) municipale, régionale et provinciale </w:t>
      </w:r>
      <w:r w:rsidR="00287122" w:rsidRPr="00080CB5">
        <w:rPr>
          <w:szCs w:val="22"/>
        </w:rPr>
        <w:t>en vigueu</w:t>
      </w:r>
      <w:r w:rsidR="00080CB5">
        <w:rPr>
          <w:szCs w:val="22"/>
        </w:rPr>
        <w:t>r</w:t>
      </w:r>
      <w:r w:rsidR="00287122" w:rsidRPr="00080CB5">
        <w:rPr>
          <w:szCs w:val="22"/>
        </w:rPr>
        <w:t>;</w:t>
      </w:r>
    </w:p>
    <w:p w14:paraId="623CC6CA" w14:textId="77777777" w:rsidR="008D0322" w:rsidRPr="00BD6FC6" w:rsidRDefault="008D0322" w:rsidP="00BD6FC6">
      <w:pPr>
        <w:rPr>
          <w:szCs w:val="22"/>
        </w:rPr>
      </w:pPr>
    </w:p>
    <w:p w14:paraId="5F55E02B" w14:textId="77777777" w:rsidR="00DD709C" w:rsidRPr="00080CB5" w:rsidRDefault="00DD709C" w:rsidP="00DD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  <w:r>
        <w:rPr>
          <w:color w:val="C00000"/>
          <w:szCs w:val="22"/>
        </w:rPr>
        <w:t>L</w:t>
      </w:r>
      <w:r w:rsidRPr="00080CB5">
        <w:rPr>
          <w:color w:val="C00000"/>
          <w:szCs w:val="22"/>
        </w:rPr>
        <w:t xml:space="preserve">es </w:t>
      </w:r>
      <w:r w:rsidRPr="005C737B">
        <w:rPr>
          <w:b/>
          <w:bCs/>
          <w:color w:val="C00000"/>
          <w:szCs w:val="22"/>
        </w:rPr>
        <w:t>établissements des secteurs de la santé ou de l’éducation</w:t>
      </w:r>
      <w:r w:rsidRPr="00BF53E0">
        <w:rPr>
          <w:color w:val="C00000"/>
          <w:szCs w:val="22"/>
        </w:rPr>
        <w:t xml:space="preserve"> (ex. : école, clinique)</w:t>
      </w:r>
      <w:r>
        <w:rPr>
          <w:b/>
          <w:bCs/>
          <w:color w:val="C00000"/>
          <w:szCs w:val="22"/>
        </w:rPr>
        <w:t xml:space="preserve"> </w:t>
      </w:r>
      <w:r>
        <w:rPr>
          <w:color w:val="C00000"/>
          <w:szCs w:val="22"/>
        </w:rPr>
        <w:t>situés d</w:t>
      </w:r>
      <w:r w:rsidRPr="00080CB5">
        <w:rPr>
          <w:color w:val="C00000"/>
          <w:szCs w:val="22"/>
        </w:rPr>
        <w:t>ans une municipalité de moins de 20 000 habitants</w:t>
      </w:r>
      <w:r w:rsidRPr="008734E5">
        <w:rPr>
          <w:color w:val="C00000"/>
          <w:szCs w:val="22"/>
        </w:rPr>
        <w:t xml:space="preserve"> sont</w:t>
      </w:r>
      <w:r>
        <w:rPr>
          <w:b/>
          <w:bCs/>
          <w:color w:val="C00000"/>
          <w:szCs w:val="22"/>
        </w:rPr>
        <w:t xml:space="preserve"> </w:t>
      </w:r>
      <w:r w:rsidRPr="008734E5">
        <w:rPr>
          <w:b/>
          <w:bCs/>
          <w:color w:val="C00000"/>
          <w:szCs w:val="22"/>
        </w:rPr>
        <w:t xml:space="preserve">admissibles </w:t>
      </w:r>
      <w:r>
        <w:rPr>
          <w:color w:val="C00000"/>
          <w:szCs w:val="22"/>
        </w:rPr>
        <w:t>à déposer d</w:t>
      </w:r>
      <w:r w:rsidRPr="00080CB5">
        <w:rPr>
          <w:color w:val="C00000"/>
          <w:szCs w:val="22"/>
        </w:rPr>
        <w:t>es projets</w:t>
      </w:r>
      <w:r>
        <w:rPr>
          <w:color w:val="C00000"/>
          <w:szCs w:val="22"/>
        </w:rPr>
        <w:t>, à condition que la communauté puisse y avoir accès</w:t>
      </w:r>
      <w:r w:rsidRPr="00080CB5">
        <w:rPr>
          <w:color w:val="C00000"/>
          <w:szCs w:val="22"/>
        </w:rPr>
        <w:t>.</w:t>
      </w:r>
    </w:p>
    <w:p w14:paraId="32078D0E" w14:textId="77777777" w:rsidR="00DD709C" w:rsidRDefault="00DD709C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</w:p>
    <w:p w14:paraId="540DD2CA" w14:textId="086BC8C5" w:rsidR="009E5D3A" w:rsidRPr="009E5D3A" w:rsidRDefault="009E5D3A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  <w:r w:rsidRPr="009E5D3A">
        <w:rPr>
          <w:color w:val="C00000"/>
          <w:szCs w:val="22"/>
        </w:rPr>
        <w:t xml:space="preserve">Si votre projet concerne </w:t>
      </w:r>
      <w:r>
        <w:rPr>
          <w:color w:val="C00000"/>
          <w:szCs w:val="22"/>
        </w:rPr>
        <w:t>l’acquisition d</w:t>
      </w:r>
      <w:r w:rsidRPr="00080CB5">
        <w:rPr>
          <w:color w:val="C00000"/>
          <w:szCs w:val="22"/>
        </w:rPr>
        <w:t>’équipement ou d’</w:t>
      </w:r>
      <w:r>
        <w:rPr>
          <w:color w:val="C00000"/>
          <w:szCs w:val="22"/>
        </w:rPr>
        <w:t>i</w:t>
      </w:r>
      <w:r w:rsidRPr="00080CB5">
        <w:rPr>
          <w:color w:val="C00000"/>
          <w:szCs w:val="22"/>
        </w:rPr>
        <w:t>nfrastructure</w:t>
      </w:r>
      <w:r w:rsidRPr="009E5D3A">
        <w:rPr>
          <w:color w:val="C00000"/>
          <w:szCs w:val="22"/>
        </w:rPr>
        <w:t xml:space="preserve">, vous devrez peut-être produire un plan des opérations. </w:t>
      </w:r>
      <w:r w:rsidR="009F44EC" w:rsidRPr="009E5D3A">
        <w:rPr>
          <w:color w:val="C00000"/>
          <w:szCs w:val="22"/>
        </w:rPr>
        <w:t>Référez-vous</w:t>
      </w:r>
      <w:r w:rsidRPr="009E5D3A">
        <w:rPr>
          <w:color w:val="C00000"/>
          <w:szCs w:val="22"/>
        </w:rPr>
        <w:t xml:space="preserve"> à </w:t>
      </w:r>
      <w:hyperlink r:id="rId10" w:history="1">
        <w:r w:rsidRPr="00AB5672">
          <w:rPr>
            <w:rStyle w:val="Hyperlien"/>
            <w:szCs w:val="22"/>
          </w:rPr>
          <w:t>territoire@mrcdesappalaches.ca</w:t>
        </w:r>
      </w:hyperlink>
      <w:r w:rsidRPr="009E5D3A">
        <w:rPr>
          <w:color w:val="C00000"/>
          <w:szCs w:val="22"/>
        </w:rPr>
        <w:t xml:space="preserve"> pour vérifier cette obligation.</w:t>
      </w:r>
    </w:p>
    <w:p w14:paraId="6058A30A" w14:textId="77777777" w:rsidR="00957CC2" w:rsidRPr="00BD6FC6" w:rsidRDefault="00957CC2" w:rsidP="00BD6FC6">
      <w:pPr>
        <w:rPr>
          <w:szCs w:val="22"/>
        </w:rPr>
      </w:pPr>
    </w:p>
    <w:p w14:paraId="26B8826F" w14:textId="77777777" w:rsidR="009F44EC" w:rsidRDefault="009F44EC" w:rsidP="00BD6FC6">
      <w:pPr>
        <w:rPr>
          <w:szCs w:val="22"/>
        </w:rPr>
      </w:pPr>
    </w:p>
    <w:p w14:paraId="71206567" w14:textId="77777777" w:rsidR="009F44EC" w:rsidRDefault="009F44EC" w:rsidP="00BD6FC6">
      <w:pPr>
        <w:rPr>
          <w:szCs w:val="22"/>
        </w:rPr>
      </w:pPr>
    </w:p>
    <w:p w14:paraId="08978691" w14:textId="0F70B019" w:rsidR="00957CC2" w:rsidRPr="00BD6FC6" w:rsidRDefault="009E5D3A" w:rsidP="00BD6FC6">
      <w:pPr>
        <w:rPr>
          <w:szCs w:val="22"/>
        </w:rPr>
      </w:pPr>
      <w:r>
        <w:rPr>
          <w:szCs w:val="22"/>
        </w:rPr>
        <w:lastRenderedPageBreak/>
        <w:t>Exemples de</w:t>
      </w:r>
      <w:r w:rsidR="00957CC2" w:rsidRPr="00BD6FC6">
        <w:rPr>
          <w:szCs w:val="22"/>
        </w:rPr>
        <w:t xml:space="preserve"> projets </w:t>
      </w:r>
      <w:r w:rsidR="00957CC2" w:rsidRPr="00BD6FC6">
        <w:rPr>
          <w:szCs w:val="22"/>
          <w:u w:val="single"/>
        </w:rPr>
        <w:t>non</w:t>
      </w:r>
      <w:r w:rsidR="00ED1F3B" w:rsidRPr="00BD6FC6">
        <w:rPr>
          <w:szCs w:val="22"/>
          <w:u w:val="single"/>
        </w:rPr>
        <w:t xml:space="preserve"> </w:t>
      </w:r>
      <w:r w:rsidR="008D0322" w:rsidRPr="00BD6FC6">
        <w:rPr>
          <w:szCs w:val="22"/>
          <w:u w:val="single"/>
        </w:rPr>
        <w:t>admissibles</w:t>
      </w:r>
      <w:r w:rsidR="00957CC2" w:rsidRPr="00BD6FC6">
        <w:rPr>
          <w:szCs w:val="22"/>
        </w:rPr>
        <w:t> :</w:t>
      </w:r>
    </w:p>
    <w:p w14:paraId="4F3E818B" w14:textId="006EFF0A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 xml:space="preserve">Infrastructures, services, travaux ou opérations courantes pouvant être financés par des </w:t>
      </w:r>
      <w:r w:rsidR="00890C01">
        <w:rPr>
          <w:szCs w:val="22"/>
        </w:rPr>
        <w:t xml:space="preserve">budgets municipaux ou </w:t>
      </w:r>
      <w:r w:rsidR="00C8228B">
        <w:rPr>
          <w:szCs w:val="22"/>
        </w:rPr>
        <w:t xml:space="preserve">des </w:t>
      </w:r>
      <w:r w:rsidRPr="009E5D3A">
        <w:rPr>
          <w:szCs w:val="22"/>
        </w:rPr>
        <w:t>programmes gouvernementaux</w:t>
      </w:r>
      <w:r w:rsidR="00C8228B">
        <w:rPr>
          <w:szCs w:val="22"/>
        </w:rPr>
        <w:t xml:space="preserve"> (aqueduc, égouts, voirie, service incendie ou sé</w:t>
      </w:r>
      <w:r w:rsidR="000E025C">
        <w:rPr>
          <w:szCs w:val="22"/>
        </w:rPr>
        <w:t>c</w:t>
      </w:r>
      <w:r w:rsidR="00C8228B">
        <w:rPr>
          <w:szCs w:val="22"/>
        </w:rPr>
        <w:t>urité</w:t>
      </w:r>
      <w:r w:rsidR="000E025C">
        <w:rPr>
          <w:szCs w:val="22"/>
        </w:rPr>
        <w:t>, etc.)</w:t>
      </w:r>
      <w:r w:rsidR="008D0322" w:rsidRPr="009E5D3A">
        <w:rPr>
          <w:szCs w:val="22"/>
        </w:rPr>
        <w:t>;</w:t>
      </w:r>
    </w:p>
    <w:p w14:paraId="2BFC8977" w14:textId="296859A5" w:rsidR="00957CC2" w:rsidRPr="009E5D3A" w:rsidRDefault="009E5D3A" w:rsidP="009E5D3A">
      <w:pPr>
        <w:pStyle w:val="Paragraphedeliste"/>
        <w:numPr>
          <w:ilvl w:val="0"/>
          <w:numId w:val="32"/>
        </w:numPr>
        <w:rPr>
          <w:szCs w:val="22"/>
        </w:rPr>
      </w:pPr>
      <w:r>
        <w:rPr>
          <w:szCs w:val="22"/>
        </w:rPr>
        <w:t>R</w:t>
      </w:r>
      <w:r w:rsidR="00957CC2" w:rsidRPr="009E5D3A">
        <w:rPr>
          <w:szCs w:val="22"/>
        </w:rPr>
        <w:t xml:space="preserve">emplacement </w:t>
      </w:r>
      <w:r>
        <w:rPr>
          <w:szCs w:val="22"/>
        </w:rPr>
        <w:t xml:space="preserve">ou </w:t>
      </w:r>
      <w:r w:rsidR="00957CC2" w:rsidRPr="009E5D3A">
        <w:rPr>
          <w:szCs w:val="22"/>
        </w:rPr>
        <w:t>entretien d’une infrastructure</w:t>
      </w:r>
      <w:r w:rsidR="008D0322" w:rsidRPr="009E5D3A">
        <w:rPr>
          <w:szCs w:val="22"/>
        </w:rPr>
        <w:t>;</w:t>
      </w:r>
    </w:p>
    <w:p w14:paraId="12325726" w14:textId="01E6F48E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 xml:space="preserve">Projet récurrent ou </w:t>
      </w:r>
      <w:r w:rsidR="009E5D3A">
        <w:rPr>
          <w:szCs w:val="22"/>
        </w:rPr>
        <w:t>sans</w:t>
      </w:r>
      <w:r w:rsidRPr="009E5D3A">
        <w:rPr>
          <w:szCs w:val="22"/>
        </w:rPr>
        <w:t xml:space="preserve"> valeur ajoutée</w:t>
      </w:r>
      <w:r w:rsidR="008D0322" w:rsidRPr="009E5D3A">
        <w:rPr>
          <w:szCs w:val="22"/>
        </w:rPr>
        <w:t>;</w:t>
      </w:r>
    </w:p>
    <w:p w14:paraId="30461A22" w14:textId="0757A2E9" w:rsidR="00957CC2" w:rsidRPr="009E5D3A" w:rsidRDefault="009E5D3A" w:rsidP="009E5D3A">
      <w:pPr>
        <w:pStyle w:val="Paragraphedeliste"/>
        <w:numPr>
          <w:ilvl w:val="0"/>
          <w:numId w:val="32"/>
        </w:numPr>
        <w:rPr>
          <w:szCs w:val="22"/>
        </w:rPr>
      </w:pPr>
      <w:r>
        <w:rPr>
          <w:szCs w:val="22"/>
        </w:rPr>
        <w:t>Projet de p</w:t>
      </w:r>
      <w:r w:rsidR="00957CC2" w:rsidRPr="009E5D3A">
        <w:rPr>
          <w:szCs w:val="22"/>
        </w:rPr>
        <w:t xml:space="preserve">romotion </w:t>
      </w:r>
      <w:r>
        <w:rPr>
          <w:szCs w:val="22"/>
        </w:rPr>
        <w:t>ou</w:t>
      </w:r>
      <w:r w:rsidR="00957CC2" w:rsidRPr="009E5D3A">
        <w:rPr>
          <w:szCs w:val="22"/>
        </w:rPr>
        <w:t xml:space="preserve"> de communication (panneaux d’affichage, site </w:t>
      </w:r>
      <w:r w:rsidR="00546E82" w:rsidRPr="009E5D3A">
        <w:rPr>
          <w:szCs w:val="22"/>
        </w:rPr>
        <w:t>I</w:t>
      </w:r>
      <w:r w:rsidR="00957CC2" w:rsidRPr="009E5D3A">
        <w:rPr>
          <w:szCs w:val="22"/>
        </w:rPr>
        <w:t>nternet, dépliants, etc.)</w:t>
      </w:r>
      <w:r w:rsidR="008D0322" w:rsidRPr="009E5D3A">
        <w:rPr>
          <w:szCs w:val="22"/>
        </w:rPr>
        <w:t>;</w:t>
      </w:r>
    </w:p>
    <w:p w14:paraId="0C654F37" w14:textId="48118502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>Projet d’information, de sensibilisation ou d’éducation populaire (ateliers, conférences, formations, etc.)</w:t>
      </w:r>
      <w:r w:rsidR="008D0322" w:rsidRPr="009E5D3A">
        <w:rPr>
          <w:szCs w:val="22"/>
        </w:rPr>
        <w:t>;</w:t>
      </w:r>
    </w:p>
    <w:p w14:paraId="3581D2F1" w14:textId="112FAF16" w:rsidR="00ED7BE1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>Projet qui entre en concurrence avec d’autres entreprises ou projets existants</w:t>
      </w:r>
      <w:r w:rsidR="008D0322" w:rsidRPr="009E5D3A">
        <w:rPr>
          <w:szCs w:val="22"/>
        </w:rPr>
        <w:t>.</w:t>
      </w:r>
    </w:p>
    <w:p w14:paraId="2DC2177B" w14:textId="31C4FB25" w:rsidR="00DF5ED2" w:rsidRPr="00965833" w:rsidRDefault="00DF5ED2" w:rsidP="00BD6FC6">
      <w:pPr>
        <w:pStyle w:val="Titre1"/>
      </w:pPr>
      <w:r w:rsidRPr="00965833">
        <w:t>Admissibilité des dépenses</w:t>
      </w:r>
    </w:p>
    <w:p w14:paraId="764C763E" w14:textId="1DB1D261" w:rsidR="002A39CE" w:rsidRPr="009E5D3A" w:rsidRDefault="009E5D3A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>
        <w:rPr>
          <w:color w:val="C00000"/>
        </w:rPr>
        <w:t>L</w:t>
      </w:r>
      <w:r w:rsidR="002A39CE" w:rsidRPr="009E5D3A">
        <w:rPr>
          <w:color w:val="C00000"/>
        </w:rPr>
        <w:t>’achat local est fortement recommandé, le choix des fournisseurs d</w:t>
      </w:r>
      <w:r>
        <w:rPr>
          <w:color w:val="C00000"/>
        </w:rPr>
        <w:t>oit</w:t>
      </w:r>
      <w:r w:rsidR="002A39CE" w:rsidRPr="009E5D3A">
        <w:rPr>
          <w:color w:val="C00000"/>
        </w:rPr>
        <w:t xml:space="preserve"> être fait par ordre de priorité : </w:t>
      </w:r>
    </w:p>
    <w:p w14:paraId="6E611D09" w14:textId="372739A6" w:rsidR="002A39CE" w:rsidRPr="009E5D3A" w:rsidRDefault="002A39CE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9E5D3A">
        <w:rPr>
          <w:color w:val="C00000"/>
        </w:rPr>
        <w:t>1</w:t>
      </w:r>
      <w:r w:rsidR="009E5D3A">
        <w:rPr>
          <w:color w:val="C00000"/>
        </w:rPr>
        <w:t>)</w:t>
      </w:r>
      <w:r w:rsidRPr="009E5D3A">
        <w:rPr>
          <w:color w:val="C00000"/>
        </w:rPr>
        <w:t xml:space="preserve"> MRC des Appalaches</w:t>
      </w:r>
      <w:r w:rsidR="009E5D3A">
        <w:rPr>
          <w:color w:val="C00000"/>
        </w:rPr>
        <w:tab/>
      </w:r>
      <w:r w:rsidR="009E5D3A">
        <w:rPr>
          <w:color w:val="C00000"/>
        </w:rPr>
        <w:tab/>
      </w:r>
      <w:r w:rsidRPr="009E5D3A">
        <w:rPr>
          <w:color w:val="C00000"/>
        </w:rPr>
        <w:t>2</w:t>
      </w:r>
      <w:r w:rsidR="009E5D3A">
        <w:rPr>
          <w:color w:val="C00000"/>
        </w:rPr>
        <w:t xml:space="preserve">) </w:t>
      </w:r>
      <w:r w:rsidRPr="009E5D3A">
        <w:rPr>
          <w:color w:val="C00000"/>
        </w:rPr>
        <w:t>Chaudière-Appalaches</w:t>
      </w:r>
      <w:r w:rsidR="009E5D3A">
        <w:rPr>
          <w:color w:val="C00000"/>
        </w:rPr>
        <w:tab/>
      </w:r>
      <w:r w:rsidRPr="009E5D3A">
        <w:rPr>
          <w:color w:val="C00000"/>
        </w:rPr>
        <w:t>3</w:t>
      </w:r>
      <w:r w:rsidR="009E5D3A">
        <w:rPr>
          <w:color w:val="C00000"/>
        </w:rPr>
        <w:t>)</w:t>
      </w:r>
      <w:r w:rsidRPr="009E5D3A">
        <w:rPr>
          <w:color w:val="C00000"/>
        </w:rPr>
        <w:t xml:space="preserve"> province de Québec</w:t>
      </w:r>
    </w:p>
    <w:p w14:paraId="57E2770A" w14:textId="77777777" w:rsidR="009E5D3A" w:rsidRDefault="009E5D3A" w:rsidP="00BD6FC6"/>
    <w:p w14:paraId="37F73507" w14:textId="76DB5896" w:rsidR="00EE2C2D" w:rsidRPr="002B440A" w:rsidRDefault="00EE2C2D" w:rsidP="00BD6FC6">
      <w:r w:rsidRPr="002B440A">
        <w:t xml:space="preserve">Les dépenses </w:t>
      </w:r>
      <w:r w:rsidRPr="002B440A">
        <w:rPr>
          <w:u w:val="single"/>
        </w:rPr>
        <w:t>admissibles</w:t>
      </w:r>
      <w:r w:rsidRPr="002B440A">
        <w:t xml:space="preserve"> sont les suivantes :</w:t>
      </w:r>
    </w:p>
    <w:p w14:paraId="7382F13C" w14:textId="6C7B2805" w:rsidR="008E0271" w:rsidRPr="00146AB8" w:rsidRDefault="00406D5F" w:rsidP="008E0271">
      <w:pPr>
        <w:pStyle w:val="Paragraphedeliste"/>
        <w:numPr>
          <w:ilvl w:val="0"/>
          <w:numId w:val="42"/>
        </w:numPr>
      </w:pPr>
      <w:r>
        <w:t>D</w:t>
      </w:r>
      <w:r w:rsidR="008E0271" w:rsidRPr="00146AB8">
        <w:t>irectement liées à la réalisation du projet (salaires et avantages sociaux, loyer, dépenses de déplacement, acquisition de données, matériel</w:t>
      </w:r>
      <w:r>
        <w:t>,</w:t>
      </w:r>
      <w:r w:rsidR="008E0271" w:rsidRPr="00146AB8">
        <w:t xml:space="preserve"> équipement); </w:t>
      </w:r>
    </w:p>
    <w:p w14:paraId="016D8F20" w14:textId="5C8F2437" w:rsidR="008E0271" w:rsidRPr="00146AB8" w:rsidRDefault="00406D5F" w:rsidP="008E0271">
      <w:pPr>
        <w:pStyle w:val="Paragraphedeliste"/>
        <w:numPr>
          <w:ilvl w:val="0"/>
          <w:numId w:val="42"/>
        </w:numPr>
      </w:pPr>
      <w:r>
        <w:t>R</w:t>
      </w:r>
      <w:r w:rsidR="008E0271" w:rsidRPr="00146AB8">
        <w:t xml:space="preserve">éalisation de plans et d’études (salaires et avantages sociaux, honoraires pour services professionnels ou autres services contractuels) se rapportant à : </w:t>
      </w:r>
    </w:p>
    <w:p w14:paraId="631869B5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La réalisation d’un plan d’affaires</w:t>
      </w:r>
      <w:r>
        <w:t>;</w:t>
      </w:r>
      <w:r w:rsidRPr="00146AB8">
        <w:t xml:space="preserve"> </w:t>
      </w:r>
    </w:p>
    <w:p w14:paraId="3A9C2F9A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L’évaluation de l’opportunité d’un projet, y compris l’analyse de marché d’un projet</w:t>
      </w:r>
      <w:r>
        <w:t>;</w:t>
      </w:r>
    </w:p>
    <w:p w14:paraId="14DB0D00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L’évaluation de la faisabilité technique et financière d’un projet</w:t>
      </w:r>
      <w:r>
        <w:t>;</w:t>
      </w:r>
    </w:p>
    <w:p w14:paraId="328E7B9D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La définition et la mise au point d’un concept</w:t>
      </w:r>
      <w:r>
        <w:t>;</w:t>
      </w:r>
    </w:p>
    <w:p w14:paraId="1F28FBDF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La programmation d’activités</w:t>
      </w:r>
      <w:r>
        <w:t>;</w:t>
      </w:r>
    </w:p>
    <w:p w14:paraId="02535895" w14:textId="77777777" w:rsidR="008E0271" w:rsidRPr="00146AB8" w:rsidRDefault="008E0271" w:rsidP="00744C4F">
      <w:pPr>
        <w:pStyle w:val="Paragraphedeliste"/>
        <w:numPr>
          <w:ilvl w:val="1"/>
          <w:numId w:val="42"/>
        </w:numPr>
      </w:pPr>
      <w:r w:rsidRPr="00146AB8">
        <w:t>Le développement et la mise au point d’instruments ou d’indicateurs permettant de mieux mesurer un secteur d’activité, y compris les études d’achalandage et d’impact économique liées à des projets;</w:t>
      </w:r>
    </w:p>
    <w:p w14:paraId="5279F2F1" w14:textId="01BE9EBD" w:rsidR="008E0271" w:rsidRPr="00146AB8" w:rsidRDefault="00744C4F" w:rsidP="008E0271">
      <w:pPr>
        <w:pStyle w:val="Paragraphedeliste"/>
        <w:numPr>
          <w:ilvl w:val="0"/>
          <w:numId w:val="42"/>
        </w:numPr>
      </w:pPr>
      <w:r>
        <w:t>C</w:t>
      </w:r>
      <w:r w:rsidR="008E0271" w:rsidRPr="00146AB8">
        <w:t>oûts de construction, d’aménagement, de réalisation ou de mise en place du projet</w:t>
      </w:r>
      <w:r w:rsidR="00215F02">
        <w:t xml:space="preserve"> (</w:t>
      </w:r>
      <w:r w:rsidR="008E0271" w:rsidRPr="00146AB8">
        <w:t xml:space="preserve">lorsque </w:t>
      </w:r>
      <w:r w:rsidR="00215F02">
        <w:t>liés au</w:t>
      </w:r>
      <w:r w:rsidR="008E0271" w:rsidRPr="00146AB8">
        <w:t xml:space="preserve"> projet</w:t>
      </w:r>
      <w:r w:rsidR="00215F02">
        <w:t>).</w:t>
      </w:r>
      <w:r w:rsidR="008E0271" w:rsidRPr="00146AB8">
        <w:t xml:space="preserve"> </w:t>
      </w:r>
    </w:p>
    <w:p w14:paraId="63D73823" w14:textId="77777777" w:rsidR="00744C4F" w:rsidRDefault="00744C4F" w:rsidP="00744C4F"/>
    <w:p w14:paraId="2B69E4D7" w14:textId="57F33098" w:rsidR="008E0271" w:rsidRPr="00467B5A" w:rsidRDefault="008E0271" w:rsidP="0046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467B5A">
        <w:rPr>
          <w:color w:val="C00000"/>
        </w:rPr>
        <w:t>Les municipalités doivent planifier et réaliser leurs projets avant le délai inscrit au protocole d’entente. Le montant minimal pouvant être demandé</w:t>
      </w:r>
      <w:r w:rsidR="00744C4F" w:rsidRPr="00467B5A">
        <w:rPr>
          <w:color w:val="C00000"/>
        </w:rPr>
        <w:t xml:space="preserve"> est de</w:t>
      </w:r>
      <w:r w:rsidRPr="00467B5A">
        <w:rPr>
          <w:color w:val="C00000"/>
        </w:rPr>
        <w:t xml:space="preserve"> 10 000 $, sans dépasser les sommes affectées.</w:t>
      </w:r>
    </w:p>
    <w:p w14:paraId="3A3B30EC" w14:textId="77777777" w:rsidR="00BE11C5" w:rsidRPr="00BE11C5" w:rsidRDefault="00BE11C5" w:rsidP="00BD6FC6"/>
    <w:p w14:paraId="0A30525D" w14:textId="3420536C" w:rsidR="00F36BDD" w:rsidRPr="00965833" w:rsidRDefault="00F36BDD" w:rsidP="00BD6FC6">
      <w:pPr>
        <w:rPr>
          <w:b/>
          <w:bCs/>
        </w:rPr>
      </w:pPr>
      <w:r w:rsidRPr="00BE11C5">
        <w:t xml:space="preserve">Les dépenses </w:t>
      </w:r>
      <w:r w:rsidRPr="00BE11C5">
        <w:rPr>
          <w:u w:val="single"/>
        </w:rPr>
        <w:t>non admissibles</w:t>
      </w:r>
      <w:r w:rsidRPr="00BE11C5">
        <w:t xml:space="preserve"> sont les suivantes</w:t>
      </w:r>
      <w:r w:rsidRPr="00965833">
        <w:rPr>
          <w:b/>
          <w:bCs/>
        </w:rPr>
        <w:t> :</w:t>
      </w:r>
    </w:p>
    <w:p w14:paraId="0C4549B6" w14:textId="473D7DE8" w:rsidR="000F2E16" w:rsidRDefault="009E5D3A" w:rsidP="009E5D3A">
      <w:pPr>
        <w:pStyle w:val="Paragraphedeliste"/>
        <w:numPr>
          <w:ilvl w:val="0"/>
          <w:numId w:val="34"/>
        </w:numPr>
      </w:pPr>
      <w:r>
        <w:t>Frais de f</w:t>
      </w:r>
      <w:r w:rsidR="000F2E16">
        <w:t xml:space="preserve">onctionnement normal </w:t>
      </w:r>
      <w:r w:rsidR="00215F02">
        <w:t>de la municipalité</w:t>
      </w:r>
      <w:r w:rsidR="000F2E16">
        <w:t>;</w:t>
      </w:r>
    </w:p>
    <w:p w14:paraId="7AD47DAB" w14:textId="0CF572BA" w:rsidR="00F36BDD" w:rsidRPr="00965833" w:rsidRDefault="009E5D3A" w:rsidP="009E5D3A">
      <w:pPr>
        <w:pStyle w:val="Paragraphedeliste"/>
        <w:numPr>
          <w:ilvl w:val="0"/>
          <w:numId w:val="34"/>
        </w:numPr>
      </w:pPr>
      <w:r>
        <w:t>E</w:t>
      </w:r>
      <w:r w:rsidR="00F36BDD" w:rsidRPr="00965833">
        <w:t>ntretien des infrastructures;</w:t>
      </w:r>
    </w:p>
    <w:p w14:paraId="44E5F8B0" w14:textId="284351CB" w:rsidR="00F36BDD" w:rsidRPr="00965833" w:rsidRDefault="00F36BDD" w:rsidP="009E5D3A">
      <w:pPr>
        <w:pStyle w:val="Paragraphedeliste"/>
        <w:numPr>
          <w:ilvl w:val="0"/>
          <w:numId w:val="34"/>
        </w:numPr>
      </w:pPr>
      <w:r w:rsidRPr="00965833">
        <w:t xml:space="preserve">Dépenses </w:t>
      </w:r>
      <w:r w:rsidR="000F2E16">
        <w:t xml:space="preserve">engagées </w:t>
      </w:r>
      <w:r w:rsidRPr="00965833">
        <w:t>avant la date de dépôt du projet;</w:t>
      </w:r>
    </w:p>
    <w:p w14:paraId="36343230" w14:textId="77081F0B" w:rsidR="00F36BDD" w:rsidRPr="00965833" w:rsidRDefault="00F36BDD" w:rsidP="009E5D3A">
      <w:pPr>
        <w:pStyle w:val="Paragraphedeliste"/>
        <w:numPr>
          <w:ilvl w:val="0"/>
          <w:numId w:val="34"/>
        </w:numPr>
      </w:pPr>
      <w:r w:rsidRPr="00965833">
        <w:t xml:space="preserve">Activités </w:t>
      </w:r>
      <w:r w:rsidR="009E5D3A">
        <w:t>ou</w:t>
      </w:r>
      <w:r w:rsidRPr="00965833">
        <w:t xml:space="preserve"> événements d’autofinancement;</w:t>
      </w:r>
    </w:p>
    <w:p w14:paraId="0B761F1A" w14:textId="1228CFAB" w:rsidR="00F36BDD" w:rsidRDefault="00F36BDD" w:rsidP="009E5D3A">
      <w:pPr>
        <w:pStyle w:val="Paragraphedeliste"/>
        <w:numPr>
          <w:ilvl w:val="0"/>
          <w:numId w:val="34"/>
        </w:numPr>
      </w:pPr>
      <w:r w:rsidRPr="00965833">
        <w:t xml:space="preserve">Activités, équipements </w:t>
      </w:r>
      <w:r w:rsidR="009E5D3A">
        <w:t>ou</w:t>
      </w:r>
      <w:r w:rsidRPr="00965833">
        <w:t xml:space="preserve"> infrastructures ne répondant pas aux normes, règlements </w:t>
      </w:r>
      <w:r w:rsidR="009E5D3A">
        <w:t xml:space="preserve">et lois </w:t>
      </w:r>
      <w:r w:rsidRPr="00965833">
        <w:t>en vigueur au Québec</w:t>
      </w:r>
      <w:r w:rsidR="000F2E16">
        <w:t>;</w:t>
      </w:r>
    </w:p>
    <w:p w14:paraId="42E6A6EC" w14:textId="6E1610C8" w:rsidR="0070208A" w:rsidRDefault="009E5D3A" w:rsidP="009E5D3A">
      <w:pPr>
        <w:pStyle w:val="Paragraphedeliste"/>
        <w:numPr>
          <w:ilvl w:val="0"/>
          <w:numId w:val="34"/>
        </w:numPr>
      </w:pPr>
      <w:r>
        <w:t>F</w:t>
      </w:r>
      <w:r w:rsidR="000F2E16">
        <w:t>rais juridiques;</w:t>
      </w:r>
    </w:p>
    <w:p w14:paraId="08D8D913" w14:textId="26E1B63C" w:rsidR="00F36BDD" w:rsidRDefault="009E5D3A" w:rsidP="009E5D3A">
      <w:pPr>
        <w:pStyle w:val="Paragraphedeliste"/>
        <w:numPr>
          <w:ilvl w:val="0"/>
          <w:numId w:val="34"/>
        </w:numPr>
      </w:pPr>
      <w:r>
        <w:t>P</w:t>
      </w:r>
      <w:r w:rsidR="000F2E16" w:rsidRPr="0070208A">
        <w:t xml:space="preserve">ortion </w:t>
      </w:r>
      <w:r>
        <w:t xml:space="preserve">remboursable </w:t>
      </w:r>
      <w:r w:rsidR="000F2E16" w:rsidRPr="0070208A">
        <w:t>des taxes</w:t>
      </w:r>
      <w:r w:rsidR="00371DAB">
        <w:t>.</w:t>
      </w:r>
    </w:p>
    <w:p w14:paraId="0BEF2F11" w14:textId="00753E26" w:rsidR="00F36BDD" w:rsidRPr="00BD6FC6" w:rsidRDefault="00F36BDD" w:rsidP="00BD6FC6">
      <w:pPr>
        <w:pStyle w:val="Titre2"/>
      </w:pPr>
      <w:r w:rsidRPr="00BD6FC6">
        <w:lastRenderedPageBreak/>
        <w:t>Cumul des aides financières</w:t>
      </w:r>
    </w:p>
    <w:p w14:paraId="7F29BFA2" w14:textId="0EDC6B8A" w:rsidR="00257C40" w:rsidRPr="00257C40" w:rsidRDefault="00257C40" w:rsidP="00CD410A">
      <w:pPr>
        <w:pStyle w:val="pf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57C40">
        <w:rPr>
          <w:rStyle w:val="cf01"/>
          <w:rFonts w:ascii="Calibri" w:eastAsiaTheme="majorEastAsia" w:hAnsi="Calibri" w:cs="Calibri"/>
          <w:sz w:val="22"/>
          <w:szCs w:val="22"/>
        </w:rPr>
        <w:t xml:space="preserve">Le cumul de l’aide gouvernementale </w:t>
      </w:r>
      <w:r>
        <w:rPr>
          <w:rStyle w:val="cf01"/>
          <w:rFonts w:ascii="Calibri" w:eastAsiaTheme="majorEastAsia" w:hAnsi="Calibri" w:cs="Calibri"/>
          <w:sz w:val="22"/>
          <w:szCs w:val="22"/>
        </w:rPr>
        <w:t xml:space="preserve">municipale, </w:t>
      </w:r>
      <w:r w:rsidRPr="00257C40">
        <w:rPr>
          <w:rStyle w:val="cf01"/>
          <w:rFonts w:ascii="Calibri" w:eastAsiaTheme="majorEastAsia" w:hAnsi="Calibri" w:cs="Calibri"/>
          <w:sz w:val="22"/>
          <w:szCs w:val="22"/>
        </w:rPr>
        <w:t>provinciale et fédérale, incluant le Fonds régions et ruralité, peut atteindre 100% du coût total des dépenses admissibles.</w:t>
      </w:r>
    </w:p>
    <w:p w14:paraId="06C1EB6F" w14:textId="1BC36F04" w:rsidR="00181A0D" w:rsidRDefault="00181A0D" w:rsidP="00BD6FC6">
      <w:pPr>
        <w:pStyle w:val="Titre2"/>
      </w:pPr>
      <w:r w:rsidRPr="00181A0D">
        <w:t>Contribution du demandeur</w:t>
      </w:r>
    </w:p>
    <w:p w14:paraId="4231AF7C" w14:textId="218A9C0B" w:rsidR="00903ED2" w:rsidRDefault="00181A0D" w:rsidP="00BD6FC6">
      <w:r w:rsidRPr="00181A0D">
        <w:t xml:space="preserve">La contribution des </w:t>
      </w:r>
      <w:r w:rsidR="00371DAB">
        <w:t>municipalités</w:t>
      </w:r>
      <w:r w:rsidRPr="00181A0D">
        <w:t xml:space="preserve"> </w:t>
      </w:r>
      <w:r w:rsidR="00EC4EA7">
        <w:t>doit représenter</w:t>
      </w:r>
      <w:r w:rsidR="00903ED2">
        <w:t xml:space="preserve"> </w:t>
      </w:r>
      <w:r w:rsidR="00EC4EA7" w:rsidRPr="00903ED2">
        <w:rPr>
          <w:b/>
          <w:bCs/>
        </w:rPr>
        <w:t>20% du coût total du projet</w:t>
      </w:r>
      <w:r w:rsidR="00EC4EA7">
        <w:t xml:space="preserve"> et </w:t>
      </w:r>
      <w:r w:rsidRPr="00181A0D">
        <w:t>doit être faite sous forme monétaire</w:t>
      </w:r>
      <w:r>
        <w:t>.</w:t>
      </w:r>
    </w:p>
    <w:p w14:paraId="3B853FF1" w14:textId="220CC7CB" w:rsidR="00F36BDD" w:rsidRPr="00965833" w:rsidRDefault="00FE3E79" w:rsidP="00BD6FC6">
      <w:pPr>
        <w:pStyle w:val="Titre1"/>
      </w:pPr>
      <w:r>
        <w:t>Taux</w:t>
      </w:r>
      <w:r w:rsidR="00F36BDD" w:rsidRPr="00965833">
        <w:t xml:space="preserve"> d’aide financière</w:t>
      </w:r>
    </w:p>
    <w:p w14:paraId="691E8EEE" w14:textId="033C662E" w:rsidR="006012A0" w:rsidRPr="001D33A5" w:rsidRDefault="006012A0" w:rsidP="006012A0">
      <w:r>
        <w:t xml:space="preserve">Pour le </w:t>
      </w:r>
      <w:r w:rsidRPr="00932D8B">
        <w:rPr>
          <w:b/>
          <w:bCs/>
        </w:rPr>
        <w:t>volet 2</w:t>
      </w:r>
      <w:r>
        <w:t>, l</w:t>
      </w:r>
      <w:r w:rsidRPr="00146AB8">
        <w:t xml:space="preserve">e </w:t>
      </w:r>
      <w:r>
        <w:t>taux</w:t>
      </w:r>
      <w:r w:rsidRPr="00146AB8">
        <w:t xml:space="preserve"> d’aide financière du FRR peut couvrir </w:t>
      </w:r>
      <w:r w:rsidRPr="00BB0C3D">
        <w:rPr>
          <w:b/>
          <w:bCs/>
        </w:rPr>
        <w:t xml:space="preserve">jusqu’à 80% </w:t>
      </w:r>
      <w:r w:rsidRPr="001D33A5">
        <w:t xml:space="preserve">des dépenses admissibles. Pour </w:t>
      </w:r>
      <w:r w:rsidRPr="00932D8B">
        <w:t>les demandeurs sur un territoire visé par le volet 3 -</w:t>
      </w:r>
      <w:r>
        <w:t xml:space="preserve"> </w:t>
      </w:r>
      <w:r w:rsidRPr="00932D8B">
        <w:t xml:space="preserve">vitalisation (voir </w:t>
      </w:r>
      <w:r w:rsidR="00CD3413">
        <w:t>section</w:t>
      </w:r>
      <w:r w:rsidRPr="00932D8B">
        <w:t xml:space="preserve"> 4.2), le taux d’aide peut atteindre</w:t>
      </w:r>
      <w:r>
        <w:rPr>
          <w:b/>
          <w:bCs/>
        </w:rPr>
        <w:t xml:space="preserve"> jusqu’à 90% </w:t>
      </w:r>
      <w:r w:rsidRPr="001D33A5">
        <w:t>des dépenses admissibles.</w:t>
      </w:r>
    </w:p>
    <w:p w14:paraId="6B045EDD" w14:textId="77777777" w:rsidR="00CD3413" w:rsidRDefault="00CD3413" w:rsidP="006012A0"/>
    <w:p w14:paraId="545E31D4" w14:textId="6AAB997C" w:rsidR="006012A0" w:rsidRPr="00196D14" w:rsidRDefault="006012A0" w:rsidP="006012A0">
      <w:r>
        <w:t xml:space="preserve">Pour le </w:t>
      </w:r>
      <w:r w:rsidRPr="00932D8B">
        <w:rPr>
          <w:b/>
          <w:bCs/>
        </w:rPr>
        <w:t>volet 3,</w:t>
      </w:r>
      <w:r>
        <w:t xml:space="preserve"> </w:t>
      </w:r>
      <w:r w:rsidR="00CD3413">
        <w:t>l</w:t>
      </w:r>
      <w:r w:rsidR="00CD3413" w:rsidRPr="00146AB8">
        <w:t xml:space="preserve">e </w:t>
      </w:r>
      <w:r w:rsidR="00CD3413">
        <w:t>taux</w:t>
      </w:r>
      <w:r w:rsidR="00CD3413" w:rsidRPr="00146AB8">
        <w:t xml:space="preserve"> d’aide financière du FRR peut couvrir </w:t>
      </w:r>
      <w:r w:rsidR="00CD3413" w:rsidRPr="00BB0C3D">
        <w:rPr>
          <w:b/>
          <w:bCs/>
        </w:rPr>
        <w:t>jusqu’à</w:t>
      </w:r>
      <w:r w:rsidRPr="00932D8B">
        <w:rPr>
          <w:b/>
          <w:bCs/>
        </w:rPr>
        <w:t xml:space="preserve"> 90%</w:t>
      </w:r>
      <w:r>
        <w:t xml:space="preserve"> des dépenses admissibles.</w:t>
      </w:r>
    </w:p>
    <w:p w14:paraId="17154494" w14:textId="1F043C0C" w:rsidR="00DF5ED2" w:rsidRPr="00965833" w:rsidRDefault="00DF5ED2" w:rsidP="00BD6FC6">
      <w:pPr>
        <w:pStyle w:val="Titre1"/>
      </w:pPr>
      <w:r w:rsidRPr="00965833">
        <w:t>Critères d’a</w:t>
      </w:r>
      <w:r w:rsidR="00E51976">
        <w:t>DMISSIBILITÉ</w:t>
      </w:r>
    </w:p>
    <w:p w14:paraId="67BB923C" w14:textId="30EA11C5" w:rsidR="007D1793" w:rsidRPr="002B440A" w:rsidRDefault="00903ED2" w:rsidP="00903ED2">
      <w:pPr>
        <w:pStyle w:val="Paragraphedeliste"/>
        <w:numPr>
          <w:ilvl w:val="0"/>
          <w:numId w:val="35"/>
        </w:numPr>
      </w:pPr>
      <w:r>
        <w:t>M</w:t>
      </w:r>
      <w:r w:rsidR="007D1793" w:rsidRPr="002B440A">
        <w:t>ontrer clairement le besoin;</w:t>
      </w:r>
    </w:p>
    <w:p w14:paraId="21E5E7EF" w14:textId="3CB8D7C3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 xml:space="preserve">Respecter les </w:t>
      </w:r>
      <w:r w:rsidR="00E03737" w:rsidRPr="002B440A">
        <w:t xml:space="preserve">priorités </w:t>
      </w:r>
      <w:r w:rsidR="00A4528B">
        <w:t>d</w:t>
      </w:r>
      <w:r w:rsidRPr="002B440A">
        <w:t>’intervention;</w:t>
      </w:r>
    </w:p>
    <w:p w14:paraId="0BFF7107" w14:textId="5C388658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>Émaner d’une démarche de planification existante ou d’une nouvelle réflexion stratégique permettant d’associer l’enjeu, la vision et la solution proposée dans un tout cohérent et bien réfléchi;</w:t>
      </w:r>
    </w:p>
    <w:p w14:paraId="4A554CD1" w14:textId="77777777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>Présenter un projet réaliste;</w:t>
      </w:r>
    </w:p>
    <w:p w14:paraId="2F0A380A" w14:textId="77777777" w:rsidR="00903ED2" w:rsidRDefault="007D1793" w:rsidP="00903ED2">
      <w:pPr>
        <w:pStyle w:val="Paragraphedeliste"/>
        <w:numPr>
          <w:ilvl w:val="0"/>
          <w:numId w:val="35"/>
        </w:numPr>
      </w:pPr>
      <w:r w:rsidRPr="002B440A">
        <w:t xml:space="preserve">Établir </w:t>
      </w:r>
      <w:r w:rsidR="00E03737" w:rsidRPr="002B440A">
        <w:t>un montage financier réaliste du projet;</w:t>
      </w:r>
      <w:r w:rsidR="00903ED2" w:rsidRPr="00903ED2">
        <w:t xml:space="preserve"> </w:t>
      </w:r>
    </w:p>
    <w:p w14:paraId="4570C4C5" w14:textId="049BCC92" w:rsidR="007D1793" w:rsidRPr="002B440A" w:rsidRDefault="00903ED2" w:rsidP="00903ED2">
      <w:pPr>
        <w:pStyle w:val="Paragraphedeliste"/>
        <w:numPr>
          <w:ilvl w:val="0"/>
          <w:numId w:val="35"/>
        </w:numPr>
      </w:pPr>
      <w:r>
        <w:t>Avoir l</w:t>
      </w:r>
      <w:r w:rsidRPr="002B440A">
        <w:t>es appuis du milieu et des partenaires;</w:t>
      </w:r>
    </w:p>
    <w:p w14:paraId="1239810D" w14:textId="55B24A9B" w:rsidR="007D1793" w:rsidRPr="002B440A" w:rsidRDefault="00951FE8" w:rsidP="00903ED2">
      <w:pPr>
        <w:pStyle w:val="Paragraphedeliste"/>
        <w:numPr>
          <w:ilvl w:val="0"/>
          <w:numId w:val="35"/>
        </w:numPr>
      </w:pPr>
      <w:r>
        <w:t>Avoir l</w:t>
      </w:r>
      <w:r w:rsidR="007D1793" w:rsidRPr="002B440A">
        <w:t xml:space="preserve">’engagement </w:t>
      </w:r>
      <w:r w:rsidR="00477573">
        <w:t>d</w:t>
      </w:r>
      <w:r w:rsidR="005A2E48">
        <w:t>u p</w:t>
      </w:r>
      <w:r w:rsidR="001B63F0">
        <w:t>romoteur</w:t>
      </w:r>
      <w:r w:rsidR="007D1793" w:rsidRPr="002B440A">
        <w:t xml:space="preserve"> pour </w:t>
      </w:r>
      <w:r w:rsidR="00FF726F">
        <w:t xml:space="preserve">assurer la pérennité </w:t>
      </w:r>
      <w:r w:rsidR="007D1793" w:rsidRPr="002B440A">
        <w:t>du projet;</w:t>
      </w:r>
    </w:p>
    <w:p w14:paraId="258F7D79" w14:textId="6DDD6624" w:rsidR="00D414E5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 xml:space="preserve">Avoir </w:t>
      </w:r>
      <w:proofErr w:type="gramStart"/>
      <w:r w:rsidRPr="002B440A">
        <w:t>recours</w:t>
      </w:r>
      <w:proofErr w:type="gramEnd"/>
      <w:r w:rsidRPr="002B440A">
        <w:t xml:space="preserve"> à d’autres sources de financement, s’il y a lieu</w:t>
      </w:r>
      <w:r w:rsidR="0045175A" w:rsidRPr="002B440A">
        <w:t>.</w:t>
      </w:r>
    </w:p>
    <w:p w14:paraId="755B5901" w14:textId="53346C60" w:rsidR="00DF5ED2" w:rsidRPr="00965833" w:rsidRDefault="00DF5ED2" w:rsidP="00697A2E">
      <w:pPr>
        <w:pStyle w:val="Titre1"/>
      </w:pPr>
      <w:r w:rsidRPr="00965833">
        <w:t>Durée du projet</w:t>
      </w:r>
    </w:p>
    <w:p w14:paraId="61755808" w14:textId="77777777" w:rsidR="002B4F76" w:rsidRPr="00FF726F" w:rsidRDefault="002B4F76" w:rsidP="002B4F76">
      <w:r w:rsidRPr="00FF726F">
        <w:t>Le</w:t>
      </w:r>
      <w:r>
        <w:t>s</w:t>
      </w:r>
      <w:r w:rsidRPr="00FF726F">
        <w:t xml:space="preserve"> projet</w:t>
      </w:r>
      <w:r>
        <w:t>s</w:t>
      </w:r>
      <w:r w:rsidRPr="00FF726F">
        <w:t xml:space="preserve"> d</w:t>
      </w:r>
      <w:r>
        <w:t xml:space="preserve">oivent </w:t>
      </w:r>
      <w:r w:rsidRPr="00FF726F">
        <w:t>être réalisé</w:t>
      </w:r>
      <w:r>
        <w:t>s</w:t>
      </w:r>
      <w:r w:rsidRPr="00FF726F">
        <w:t xml:space="preserve"> au plus tard </w:t>
      </w:r>
      <w:r>
        <w:t>un an après la signature du protocole d’entente</w:t>
      </w:r>
      <w:r w:rsidRPr="00FF726F">
        <w:t>, ce</w:t>
      </w:r>
      <w:r>
        <w:t>la</w:t>
      </w:r>
      <w:r w:rsidRPr="00FF726F">
        <w:t xml:space="preserve"> inclut la remise du rapport final et des pièces justificatives.</w:t>
      </w:r>
    </w:p>
    <w:p w14:paraId="29325D9F" w14:textId="77777777" w:rsidR="009A036B" w:rsidRDefault="009A036B" w:rsidP="00697A2E"/>
    <w:p w14:paraId="2BA1D08A" w14:textId="77777777" w:rsidR="001D33A5" w:rsidRPr="001D33A5" w:rsidRDefault="00FF726F" w:rsidP="001D3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9A036B">
        <w:rPr>
          <w:color w:val="C00000"/>
        </w:rPr>
        <w:t xml:space="preserve">Les municipalités bénéficient d’un délai de 18 mois pour mettre en </w:t>
      </w:r>
      <w:r w:rsidR="009A036B" w:rsidRPr="009A036B">
        <w:rPr>
          <w:color w:val="C00000"/>
        </w:rPr>
        <w:t>œuvre</w:t>
      </w:r>
      <w:r w:rsidRPr="009A036B">
        <w:rPr>
          <w:color w:val="C00000"/>
        </w:rPr>
        <w:t xml:space="preserve"> le projet et l’utilisation des équipements s’y rattachant. </w:t>
      </w:r>
      <w:r w:rsidR="00951FE8" w:rsidRPr="009A036B">
        <w:rPr>
          <w:color w:val="C00000"/>
        </w:rPr>
        <w:t>Passé ce délai, la MRC se réserve le droit de transférer les équipements à une autre municipalité ou à un organisme poursuivant les mêmes buts</w:t>
      </w:r>
      <w:r w:rsidR="00951FE8" w:rsidRPr="001D33A5">
        <w:rPr>
          <w:color w:val="C00000"/>
        </w:rPr>
        <w:t>.</w:t>
      </w:r>
    </w:p>
    <w:p w14:paraId="1F860FD8" w14:textId="059476E5" w:rsidR="00DF5ED2" w:rsidRPr="00965833" w:rsidRDefault="00DF5ED2" w:rsidP="001D33A5">
      <w:pPr>
        <w:pStyle w:val="Titre1"/>
      </w:pPr>
      <w:r w:rsidRPr="00965833">
        <w:t>Présentation du projet</w:t>
      </w:r>
    </w:p>
    <w:p w14:paraId="21BC0974" w14:textId="1A607232" w:rsidR="0045175A" w:rsidRPr="002B440A" w:rsidRDefault="0045175A" w:rsidP="00697A2E">
      <w:r w:rsidRPr="002B440A">
        <w:t>Le dossier de présentation d</w:t>
      </w:r>
      <w:r w:rsidR="00FE0EB4">
        <w:t>e</w:t>
      </w:r>
      <w:r w:rsidR="00BC3282">
        <w:t xml:space="preserve"> la municipalité</w:t>
      </w:r>
      <w:r w:rsidR="009A036B">
        <w:t xml:space="preserve"> doit inclure</w:t>
      </w:r>
      <w:r w:rsidRPr="002B440A">
        <w:t xml:space="preserve"> les documents suivants :</w:t>
      </w:r>
    </w:p>
    <w:p w14:paraId="45C359B8" w14:textId="3604D36D" w:rsidR="0045175A" w:rsidRPr="002B440A" w:rsidRDefault="0045175A" w:rsidP="009A036B">
      <w:pPr>
        <w:pStyle w:val="Paragraphedeliste"/>
        <w:numPr>
          <w:ilvl w:val="0"/>
          <w:numId w:val="36"/>
        </w:numPr>
      </w:pPr>
      <w:r w:rsidRPr="002B440A">
        <w:t>Formulaire de demande d’aide financière (format Word) rempli et signé par la personne mandatée</w:t>
      </w:r>
      <w:r w:rsidR="00AC3E9C">
        <w:t>;</w:t>
      </w:r>
    </w:p>
    <w:p w14:paraId="7255B29F" w14:textId="54645377" w:rsidR="0045175A" w:rsidRPr="002B440A" w:rsidRDefault="0045175A" w:rsidP="009A036B">
      <w:pPr>
        <w:pStyle w:val="Paragraphedeliste"/>
        <w:numPr>
          <w:ilvl w:val="0"/>
          <w:numId w:val="36"/>
        </w:numPr>
      </w:pPr>
      <w:r w:rsidRPr="002B440A">
        <w:t xml:space="preserve">Résolution </w:t>
      </w:r>
      <w:r w:rsidR="00BC3282">
        <w:t xml:space="preserve">du conseil </w:t>
      </w:r>
      <w:r w:rsidRPr="002B440A">
        <w:t xml:space="preserve">mandatant une personne à agir </w:t>
      </w:r>
      <w:r w:rsidR="00F86900">
        <w:t>au</w:t>
      </w:r>
      <w:r w:rsidRPr="002B440A">
        <w:t xml:space="preserve"> nom</w:t>
      </w:r>
      <w:r w:rsidR="00F86900">
        <w:t xml:space="preserve"> de la </w:t>
      </w:r>
      <w:r w:rsidR="00E804C5">
        <w:t>municipalité</w:t>
      </w:r>
      <w:r w:rsidR="00AC3E9C">
        <w:t>;</w:t>
      </w:r>
    </w:p>
    <w:p w14:paraId="517FA322" w14:textId="31284E04" w:rsidR="0045175A" w:rsidRDefault="00D926E0" w:rsidP="009A036B">
      <w:pPr>
        <w:pStyle w:val="Paragraphedeliste"/>
        <w:numPr>
          <w:ilvl w:val="0"/>
          <w:numId w:val="36"/>
        </w:numPr>
      </w:pPr>
      <w:r>
        <w:t>Lettre</w:t>
      </w:r>
      <w:r w:rsidR="0045175A" w:rsidRPr="002B440A">
        <w:t>(s) d’appui ou d’engagement des partenaires</w:t>
      </w:r>
      <w:r w:rsidR="00AC3E9C">
        <w:t>;</w:t>
      </w:r>
    </w:p>
    <w:p w14:paraId="217A3E20" w14:textId="4B7F56D0" w:rsidR="00D926E0" w:rsidRPr="00D926E0" w:rsidRDefault="00D926E0" w:rsidP="009A036B">
      <w:pPr>
        <w:pStyle w:val="Paragraphedeliste"/>
        <w:numPr>
          <w:ilvl w:val="0"/>
          <w:numId w:val="36"/>
        </w:numPr>
      </w:pPr>
      <w:r>
        <w:t>Soumission</w:t>
      </w:r>
      <w:r w:rsidR="009A036B">
        <w:t>,</w:t>
      </w:r>
      <w:r>
        <w:t xml:space="preserve"> selon la nature du projet</w:t>
      </w:r>
      <w:r w:rsidR="00AC3E9C">
        <w:t>;</w:t>
      </w:r>
    </w:p>
    <w:p w14:paraId="204B9DFA" w14:textId="394C50EE" w:rsidR="0045175A" w:rsidRDefault="0045175A" w:rsidP="009A036B">
      <w:pPr>
        <w:pStyle w:val="Paragraphedeliste"/>
        <w:numPr>
          <w:ilvl w:val="0"/>
          <w:numId w:val="36"/>
        </w:numPr>
      </w:pPr>
      <w:r w:rsidRPr="002B440A">
        <w:t>Tout autre document jugé pertinent</w:t>
      </w:r>
      <w:r w:rsidR="00AC3E9C">
        <w:t>.</w:t>
      </w:r>
    </w:p>
    <w:p w14:paraId="360F12F8" w14:textId="77777777" w:rsidR="00E804C5" w:rsidRDefault="00E804C5" w:rsidP="00E804C5"/>
    <w:p w14:paraId="49074F8D" w14:textId="728E9312" w:rsidR="00E804C5" w:rsidRPr="00965833" w:rsidRDefault="00E804C5" w:rsidP="00E804C5">
      <w:r w:rsidRPr="00C73339">
        <w:t xml:space="preserve">Les demandes peuvent être déposées en tout temps. La date limite est le </w:t>
      </w:r>
      <w:r w:rsidR="000E3390">
        <w:t xml:space="preserve">27 octobre </w:t>
      </w:r>
      <w:r w:rsidRPr="00C73339">
        <w:t>202</w:t>
      </w:r>
      <w:r w:rsidR="000E3390">
        <w:t>8</w:t>
      </w:r>
      <w:r w:rsidRPr="00C73339">
        <w:t>.</w:t>
      </w:r>
    </w:p>
    <w:p w14:paraId="3EDA3617" w14:textId="5553317D" w:rsidR="00DF5ED2" w:rsidRPr="00965833" w:rsidRDefault="00DF5ED2" w:rsidP="00697A2E">
      <w:pPr>
        <w:pStyle w:val="Titre1"/>
      </w:pPr>
      <w:r w:rsidRPr="00965833">
        <w:lastRenderedPageBreak/>
        <w:t>Cheminement des d</w:t>
      </w:r>
      <w:r w:rsidR="009A036B">
        <w:t>EMANDES FINANCIÈRES</w:t>
      </w:r>
    </w:p>
    <w:p w14:paraId="5ABE4FF5" w14:textId="77777777" w:rsidR="009A036B" w:rsidRPr="009A036B" w:rsidRDefault="009A036B" w:rsidP="009A036B">
      <w:pPr>
        <w:pStyle w:val="Paragraphedeliste"/>
        <w:numPr>
          <w:ilvl w:val="0"/>
          <w:numId w:val="37"/>
        </w:numPr>
      </w:pPr>
      <w:r w:rsidRPr="009A036B">
        <w:t>Dépôt du formulaire de demande à la MRC;</w:t>
      </w:r>
    </w:p>
    <w:p w14:paraId="0E564D15" w14:textId="42B84592" w:rsidR="0045175A" w:rsidRPr="002B440A" w:rsidRDefault="0045175A" w:rsidP="009A036B">
      <w:pPr>
        <w:pStyle w:val="Paragraphedeliste"/>
        <w:numPr>
          <w:ilvl w:val="0"/>
          <w:numId w:val="37"/>
        </w:numPr>
      </w:pPr>
      <w:r w:rsidRPr="002B440A">
        <w:t xml:space="preserve">Préanalyse des demandes et communication avec </w:t>
      </w:r>
      <w:r w:rsidR="00207A07">
        <w:t>la municipalité</w:t>
      </w:r>
      <w:r w:rsidRPr="002B440A">
        <w:t>, s’il y a lieu</w:t>
      </w:r>
      <w:r w:rsidR="009A036B">
        <w:t>;</w:t>
      </w:r>
    </w:p>
    <w:p w14:paraId="1FD7E836" w14:textId="1281EEA0" w:rsidR="0045175A" w:rsidRPr="009A036B" w:rsidRDefault="0045175A" w:rsidP="009A036B">
      <w:pPr>
        <w:pStyle w:val="Paragraphedeliste"/>
        <w:numPr>
          <w:ilvl w:val="0"/>
          <w:numId w:val="37"/>
        </w:numPr>
      </w:pPr>
      <w:r w:rsidRPr="002B440A">
        <w:t>Évaluation complète des dossiers par l</w:t>
      </w:r>
      <w:r w:rsidR="001067A7">
        <w:t>a conseillère en développement territorial</w:t>
      </w:r>
      <w:r w:rsidR="009A036B">
        <w:t>;</w:t>
      </w:r>
    </w:p>
    <w:p w14:paraId="12B225AF" w14:textId="3797E74F" w:rsidR="009A036B" w:rsidRDefault="0045175A" w:rsidP="009A036B">
      <w:pPr>
        <w:pStyle w:val="Paragraphedeliste"/>
        <w:numPr>
          <w:ilvl w:val="0"/>
          <w:numId w:val="37"/>
        </w:numPr>
      </w:pPr>
      <w:r w:rsidRPr="002B440A">
        <w:t>Recommandatio</w:t>
      </w:r>
      <w:r w:rsidR="009A036B">
        <w:t>n</w:t>
      </w:r>
      <w:r w:rsidRPr="002B440A">
        <w:t xml:space="preserve"> au conseil des maires </w:t>
      </w:r>
      <w:r w:rsidR="009A036B" w:rsidRPr="009A036B">
        <w:t>et adoption par voie de résolution des projets retenus;</w:t>
      </w:r>
    </w:p>
    <w:p w14:paraId="162E71A4" w14:textId="26FD2C05" w:rsidR="009A036B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7C0BEE">
        <w:rPr>
          <w:rFonts w:cstheme="minorHAnsi"/>
          <w:u w:val="single"/>
        </w:rPr>
        <w:t>Pour les projets retenus</w:t>
      </w:r>
      <w:r w:rsidRPr="007C0BEE">
        <w:rPr>
          <w:rFonts w:cstheme="minorHAnsi"/>
        </w:rPr>
        <w:t>, signature d</w:t>
      </w:r>
      <w:r>
        <w:rPr>
          <w:rFonts w:cstheme="minorHAnsi"/>
        </w:rPr>
        <w:t>u protocole d</w:t>
      </w:r>
      <w:r w:rsidRPr="007C0BEE">
        <w:rPr>
          <w:rFonts w:cstheme="minorHAnsi"/>
        </w:rPr>
        <w:t>’entente entre la MRC des Appalaches et le promoteur</w:t>
      </w:r>
      <w:r>
        <w:rPr>
          <w:rFonts w:cstheme="minorHAnsi"/>
        </w:rPr>
        <w:t xml:space="preserve"> pour l</w:t>
      </w:r>
      <w:r w:rsidRPr="007C0BEE">
        <w:rPr>
          <w:rFonts w:cstheme="minorHAnsi"/>
        </w:rPr>
        <w:t>’aide financière</w:t>
      </w:r>
      <w:r>
        <w:rPr>
          <w:rFonts w:cstheme="minorHAnsi"/>
        </w:rPr>
        <w:t xml:space="preserve"> octroyée;</w:t>
      </w:r>
      <w:r w:rsidRPr="007C0BEE">
        <w:rPr>
          <w:rFonts w:cstheme="minorHAnsi"/>
        </w:rPr>
        <w:t xml:space="preserve"> </w:t>
      </w:r>
    </w:p>
    <w:p w14:paraId="08AF78D3" w14:textId="16942527" w:rsidR="0045175A" w:rsidRPr="002B440A" w:rsidRDefault="0045175A" w:rsidP="009A036B">
      <w:pPr>
        <w:pStyle w:val="Paragraphedeliste"/>
        <w:numPr>
          <w:ilvl w:val="0"/>
          <w:numId w:val="37"/>
        </w:numPr>
      </w:pPr>
      <w:r w:rsidRPr="002B440A">
        <w:t>Premier versement de l’aide financière</w:t>
      </w:r>
      <w:r w:rsidR="009A036B">
        <w:t>;</w:t>
      </w:r>
    </w:p>
    <w:p w14:paraId="645F4F23" w14:textId="77777777" w:rsidR="009A036B" w:rsidRPr="009A036B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9A036B">
        <w:rPr>
          <w:rFonts w:cstheme="minorHAnsi"/>
        </w:rPr>
        <w:t>Suivi du projet par la conseillère en développement territoriale</w:t>
      </w:r>
      <w:r>
        <w:rPr>
          <w:rFonts w:cstheme="minorHAnsi"/>
        </w:rPr>
        <w:t>;</w:t>
      </w:r>
    </w:p>
    <w:p w14:paraId="77BA7C4B" w14:textId="77777777" w:rsidR="009A036B" w:rsidRPr="007C0BEE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7C0BEE">
        <w:rPr>
          <w:rFonts w:cstheme="minorHAnsi"/>
        </w:rPr>
        <w:t>Dépôt du rapport final et des pièces justificatives;</w:t>
      </w:r>
    </w:p>
    <w:p w14:paraId="1072CC94" w14:textId="4C6210B9" w:rsidR="0045175A" w:rsidRDefault="0045175A" w:rsidP="009A036B">
      <w:pPr>
        <w:pStyle w:val="Paragraphedeliste"/>
        <w:numPr>
          <w:ilvl w:val="0"/>
          <w:numId w:val="37"/>
        </w:numPr>
      </w:pPr>
      <w:r w:rsidRPr="002B440A">
        <w:t>Deuxième versement de l’aide financière</w:t>
      </w:r>
      <w:r w:rsidR="00BE2BF5">
        <w:t>.</w:t>
      </w:r>
    </w:p>
    <w:p w14:paraId="460DE9CE" w14:textId="06B65627" w:rsidR="00DF5ED2" w:rsidRPr="00965833" w:rsidRDefault="00DF5ED2" w:rsidP="00697A2E">
      <w:pPr>
        <w:pStyle w:val="Titre1"/>
      </w:pPr>
      <w:r w:rsidRPr="00965833">
        <w:t>Modalités de versement et suivi des projets</w:t>
      </w:r>
    </w:p>
    <w:p w14:paraId="4C04B53B" w14:textId="5A1F66ED" w:rsidR="007C571A" w:rsidRDefault="007C571A" w:rsidP="00697A2E">
      <w:r w:rsidRPr="00965833">
        <w:t xml:space="preserve">L’aide attribuée </w:t>
      </w:r>
      <w:r w:rsidR="009A036B">
        <w:t>est</w:t>
      </w:r>
      <w:r w:rsidRPr="00965833">
        <w:t xml:space="preserve"> consentie sous forme de subvention (contribution</w:t>
      </w:r>
      <w:r w:rsidR="001C6887" w:rsidRPr="00965833">
        <w:t xml:space="preserve"> non remboursable) en </w:t>
      </w:r>
      <w:r w:rsidR="009A036B">
        <w:t>2</w:t>
      </w:r>
      <w:r w:rsidR="001C6887" w:rsidRPr="00965833">
        <w:t xml:space="preserve"> versements. Le premier </w:t>
      </w:r>
      <w:r w:rsidR="00344BD8" w:rsidRPr="00965833">
        <w:t xml:space="preserve">versement </w:t>
      </w:r>
      <w:r w:rsidR="009A036B">
        <w:t>(60%) est</w:t>
      </w:r>
      <w:r w:rsidR="00344BD8" w:rsidRPr="00965833">
        <w:t xml:space="preserve"> fait </w:t>
      </w:r>
      <w:r w:rsidR="001C6887" w:rsidRPr="00965833">
        <w:t xml:space="preserve">à la </w:t>
      </w:r>
      <w:r w:rsidR="00FF726F">
        <w:t>suite de la s</w:t>
      </w:r>
      <w:r w:rsidR="001C6887" w:rsidRPr="00965833">
        <w:t>ignature du protocole d’entente</w:t>
      </w:r>
      <w:r w:rsidR="009A036B">
        <w:t>. L</w:t>
      </w:r>
      <w:r w:rsidR="001C6887" w:rsidRPr="00965833">
        <w:t>e deuxième</w:t>
      </w:r>
      <w:r w:rsidR="009A036B">
        <w:t xml:space="preserve"> (40%)</w:t>
      </w:r>
      <w:r w:rsidR="001C6887" w:rsidRPr="00965833">
        <w:t xml:space="preserve"> </w:t>
      </w:r>
      <w:r w:rsidR="009A036B">
        <w:t>se fait après la</w:t>
      </w:r>
      <w:r w:rsidR="001C6887" w:rsidRPr="00965833">
        <w:t xml:space="preserve"> remise du rapport final</w:t>
      </w:r>
      <w:r w:rsidR="009A036B">
        <w:t>.</w:t>
      </w:r>
    </w:p>
    <w:p w14:paraId="3868521E" w14:textId="77777777" w:rsidR="009A036B" w:rsidRPr="00965833" w:rsidRDefault="009A036B" w:rsidP="00697A2E"/>
    <w:p w14:paraId="235AE940" w14:textId="6351DC7B" w:rsidR="0044602F" w:rsidRDefault="0044602F" w:rsidP="00697A2E">
      <w:r w:rsidRPr="002B440A">
        <w:t xml:space="preserve">En ce qui a trait au rapport final, </w:t>
      </w:r>
      <w:r w:rsidR="009A036B">
        <w:t>l</w:t>
      </w:r>
      <w:r w:rsidR="00C56200">
        <w:t>a municipalité</w:t>
      </w:r>
      <w:r w:rsidR="009A036B">
        <w:t xml:space="preserve"> doit</w:t>
      </w:r>
      <w:r w:rsidRPr="002B440A">
        <w:t xml:space="preserve"> remplir le</w:t>
      </w:r>
      <w:r w:rsidR="00BE2BF5">
        <w:t>s</w:t>
      </w:r>
      <w:r w:rsidRPr="002B440A">
        <w:t xml:space="preserve"> formulaire</w:t>
      </w:r>
      <w:r w:rsidR="00BE2BF5">
        <w:t>s</w:t>
      </w:r>
      <w:r w:rsidRPr="002B440A">
        <w:t xml:space="preserve"> prévu</w:t>
      </w:r>
      <w:r w:rsidR="00BE2BF5">
        <w:t>s</w:t>
      </w:r>
      <w:r w:rsidRPr="002B440A">
        <w:t xml:space="preserve"> à cet effet et fournir les pièces justificatives requises.</w:t>
      </w:r>
    </w:p>
    <w:p w14:paraId="6B719BBA" w14:textId="77777777" w:rsidR="00D956E4" w:rsidRPr="002B440A" w:rsidRDefault="00D956E4" w:rsidP="00697A2E"/>
    <w:p w14:paraId="2F0B4CAB" w14:textId="15DD8BFD" w:rsidR="00D956E4" w:rsidRPr="007C0BEE" w:rsidRDefault="0044602F" w:rsidP="00D956E4">
      <w:pPr>
        <w:rPr>
          <w:rFonts w:cstheme="minorHAnsi"/>
        </w:rPr>
      </w:pPr>
      <w:r w:rsidRPr="002B440A">
        <w:t xml:space="preserve">Tous les projets </w:t>
      </w:r>
      <w:r w:rsidR="00D956E4">
        <w:t xml:space="preserve">retenus </w:t>
      </w:r>
      <w:r w:rsidRPr="002B440A">
        <w:t>font l’objet d’un protocole d’entente entre la MRC des Appalaches et le promoteur (</w:t>
      </w:r>
      <w:r w:rsidR="00AD33D5">
        <w:t>municipalité</w:t>
      </w:r>
      <w:r w:rsidRPr="002B440A">
        <w:t xml:space="preserve">). </w:t>
      </w:r>
      <w:r w:rsidR="00D956E4">
        <w:rPr>
          <w:rFonts w:cstheme="minorHAnsi"/>
        </w:rPr>
        <w:t>Ce protocole d’</w:t>
      </w:r>
      <w:r w:rsidR="00D956E4" w:rsidRPr="007C0BEE">
        <w:rPr>
          <w:rFonts w:cstheme="minorHAnsi"/>
        </w:rPr>
        <w:t xml:space="preserve">entente </w:t>
      </w:r>
      <w:r w:rsidR="00D956E4">
        <w:rPr>
          <w:rFonts w:cstheme="minorHAnsi"/>
        </w:rPr>
        <w:t>établit</w:t>
      </w:r>
      <w:r w:rsidR="00D956E4" w:rsidRPr="007C0BEE">
        <w:rPr>
          <w:rFonts w:cstheme="minorHAnsi"/>
        </w:rPr>
        <w:t xml:space="preserve"> </w:t>
      </w:r>
      <w:r w:rsidR="00D956E4">
        <w:rPr>
          <w:rFonts w:cstheme="minorHAnsi"/>
        </w:rPr>
        <w:t xml:space="preserve">les </w:t>
      </w:r>
      <w:r w:rsidR="00D956E4" w:rsidRPr="00A57121">
        <w:rPr>
          <w:rFonts w:cstheme="minorHAnsi"/>
        </w:rPr>
        <w:t>obligations des parties</w:t>
      </w:r>
      <w:r w:rsidR="00D956E4">
        <w:rPr>
          <w:rFonts w:cstheme="minorHAnsi"/>
        </w:rPr>
        <w:t xml:space="preserve">, </w:t>
      </w:r>
      <w:r w:rsidR="00D956E4" w:rsidRPr="007C0BEE">
        <w:rPr>
          <w:rFonts w:cstheme="minorHAnsi"/>
        </w:rPr>
        <w:t xml:space="preserve">les </w:t>
      </w:r>
      <w:r w:rsidR="00D956E4">
        <w:rPr>
          <w:rFonts w:cstheme="minorHAnsi"/>
        </w:rPr>
        <w:t>modalités</w:t>
      </w:r>
      <w:r w:rsidR="00D956E4" w:rsidRPr="007C0BEE">
        <w:rPr>
          <w:rFonts w:cstheme="minorHAnsi"/>
        </w:rPr>
        <w:t xml:space="preserve"> relatives à l’octroi et aux versements des sommes consenties,</w:t>
      </w:r>
      <w:r w:rsidR="00D956E4">
        <w:rPr>
          <w:rFonts w:cstheme="minorHAnsi"/>
        </w:rPr>
        <w:t xml:space="preserve"> ainsi qu’</w:t>
      </w:r>
      <w:r w:rsidR="00D956E4" w:rsidRPr="007C0BEE">
        <w:rPr>
          <w:rFonts w:cstheme="minorHAnsi"/>
        </w:rPr>
        <w:t>aux mécanismes de contrôle et de reddition de comptes</w:t>
      </w:r>
      <w:r w:rsidR="00D956E4">
        <w:rPr>
          <w:rFonts w:cstheme="minorHAnsi"/>
        </w:rPr>
        <w:t>.</w:t>
      </w:r>
    </w:p>
    <w:p w14:paraId="5F88F990" w14:textId="77777777" w:rsidR="00D956E4" w:rsidRDefault="00D956E4" w:rsidP="00D956E4">
      <w:pPr>
        <w:rPr>
          <w:rFonts w:cstheme="minorHAnsi"/>
        </w:rPr>
      </w:pPr>
    </w:p>
    <w:p w14:paraId="4872D873" w14:textId="02F46578" w:rsidR="00FA461D" w:rsidRPr="00697A2E" w:rsidRDefault="00D956E4" w:rsidP="00697A2E">
      <w:pPr>
        <w:rPr>
          <w:iCs/>
        </w:rPr>
      </w:pPr>
      <w:r w:rsidRPr="00383BAE">
        <w:t xml:space="preserve">Pour toute </w:t>
      </w:r>
      <w:r>
        <w:t>demande d’information</w:t>
      </w:r>
      <w:r w:rsidRPr="00383BAE">
        <w:t>, veuillez c</w:t>
      </w:r>
      <w:r>
        <w:t>ontacter</w:t>
      </w:r>
      <w:r w:rsidRPr="00383BAE">
        <w:t xml:space="preserve"> </w:t>
      </w:r>
      <w:r>
        <w:t>M</w:t>
      </w:r>
      <w:r w:rsidRPr="00495564">
        <w:rPr>
          <w:vertAlign w:val="superscript"/>
        </w:rPr>
        <w:t>me</w:t>
      </w:r>
      <w:r>
        <w:t> Catherine Lachance,</w:t>
      </w:r>
      <w:r w:rsidRPr="00383BAE">
        <w:t xml:space="preserve"> </w:t>
      </w:r>
      <w:r w:rsidR="0044602F" w:rsidRPr="00697A2E">
        <w:rPr>
          <w:iCs/>
        </w:rPr>
        <w:t>conseillère en développement</w:t>
      </w:r>
      <w:r>
        <w:rPr>
          <w:iCs/>
        </w:rPr>
        <w:t xml:space="preserve"> </w:t>
      </w:r>
      <w:r w:rsidR="00AD33D5">
        <w:rPr>
          <w:iCs/>
        </w:rPr>
        <w:t>territorial</w:t>
      </w:r>
      <w:r>
        <w:rPr>
          <w:iCs/>
        </w:rPr>
        <w:t>.</w:t>
      </w:r>
    </w:p>
    <w:p w14:paraId="424EFB7D" w14:textId="77777777" w:rsidR="00FA461D" w:rsidRPr="002B440A" w:rsidRDefault="00FA461D" w:rsidP="00697A2E">
      <w:pPr>
        <w:rPr>
          <w:iCs/>
        </w:rPr>
      </w:pPr>
    </w:p>
    <w:p w14:paraId="295B8087" w14:textId="38360F8A" w:rsidR="0044602F" w:rsidRPr="00965833" w:rsidRDefault="0044602F" w:rsidP="00697A2E">
      <w:pPr>
        <w:tabs>
          <w:tab w:val="left" w:pos="5580"/>
        </w:tabs>
        <w:rPr>
          <w:b/>
          <w:bCs/>
        </w:rPr>
      </w:pPr>
      <w:r w:rsidRPr="00965833">
        <w:rPr>
          <w:b/>
          <w:bCs/>
        </w:rPr>
        <w:t>Catherine Lachance</w:t>
      </w:r>
      <w:r w:rsidRPr="00965833">
        <w:rPr>
          <w:b/>
          <w:bCs/>
        </w:rPr>
        <w:tab/>
      </w:r>
      <w:r w:rsidR="00697A2E" w:rsidRPr="002B440A">
        <w:rPr>
          <w:b/>
          <w:bCs/>
        </w:rPr>
        <w:t>Adresse postale</w:t>
      </w:r>
    </w:p>
    <w:p w14:paraId="3B71338F" w14:textId="77777777" w:rsidR="00697A2E" w:rsidRPr="00697A2E" w:rsidRDefault="00965833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>Conseillère en développement territorial</w:t>
      </w:r>
      <w:r w:rsidR="00697A2E">
        <w:rPr>
          <w:rFonts w:cs="Calibri"/>
        </w:rPr>
        <w:tab/>
      </w:r>
      <w:r w:rsidR="00697A2E" w:rsidRPr="00697A2E">
        <w:rPr>
          <w:rFonts w:cs="Calibri"/>
        </w:rPr>
        <w:t>MRC des Appalaches</w:t>
      </w:r>
    </w:p>
    <w:p w14:paraId="3FAAE3E3" w14:textId="77777777" w:rsidR="00697A2E" w:rsidRPr="00697A2E" w:rsidRDefault="0044602F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 xml:space="preserve">Courriel : </w:t>
      </w:r>
      <w:hyperlink r:id="rId11" w:history="1">
        <w:r w:rsidR="00965833" w:rsidRPr="00697A2E">
          <w:rPr>
            <w:rStyle w:val="Hyperlien"/>
            <w:rFonts w:cs="Calibri"/>
            <w:szCs w:val="22"/>
          </w:rPr>
          <w:t>territoire@mrcdesappalaches.ca</w:t>
        </w:r>
      </w:hyperlink>
      <w:r w:rsidRPr="00697A2E">
        <w:rPr>
          <w:rFonts w:cs="Calibri"/>
        </w:rPr>
        <w:tab/>
      </w:r>
      <w:r w:rsidR="00697A2E" w:rsidRPr="00697A2E">
        <w:rPr>
          <w:rFonts w:cs="Calibri"/>
        </w:rPr>
        <w:t>233, boul. Frontenac Ouest, 2</w:t>
      </w:r>
      <w:r w:rsidR="00697A2E" w:rsidRPr="00697A2E">
        <w:rPr>
          <w:rFonts w:cs="Calibri"/>
          <w:vertAlign w:val="superscript"/>
        </w:rPr>
        <w:t>e</w:t>
      </w:r>
      <w:r w:rsidR="00697A2E" w:rsidRPr="00697A2E">
        <w:rPr>
          <w:rFonts w:cs="Calibri"/>
        </w:rPr>
        <w:t xml:space="preserve"> étage</w:t>
      </w:r>
    </w:p>
    <w:p w14:paraId="04190E25" w14:textId="5F4EEF7B" w:rsidR="0064733B" w:rsidRPr="00697A2E" w:rsidRDefault="00697A2E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>Tél.</w:t>
      </w:r>
      <w:r w:rsidR="0044602F" w:rsidRPr="00697A2E">
        <w:rPr>
          <w:rFonts w:cs="Calibri"/>
        </w:rPr>
        <w:t xml:space="preserve"> : 418 332-2757, poste </w:t>
      </w:r>
      <w:r w:rsidR="0099104A" w:rsidRPr="00697A2E">
        <w:rPr>
          <w:rFonts w:cs="Calibri"/>
        </w:rPr>
        <w:t>229</w:t>
      </w:r>
      <w:r w:rsidR="0044602F" w:rsidRPr="00697A2E">
        <w:rPr>
          <w:rFonts w:cs="Calibri"/>
        </w:rPr>
        <w:tab/>
      </w:r>
      <w:r w:rsidRPr="00697A2E">
        <w:rPr>
          <w:rFonts w:cs="Calibri"/>
        </w:rPr>
        <w:t>Thetford Mines (Québec) G6G 6K2</w:t>
      </w:r>
    </w:p>
    <w:sectPr w:rsidR="0064733B" w:rsidRPr="00697A2E" w:rsidSect="00BD6FC6"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7452" w14:textId="77777777" w:rsidR="0047704B" w:rsidRDefault="0047704B" w:rsidP="005709F9">
      <w:r>
        <w:separator/>
      </w:r>
    </w:p>
  </w:endnote>
  <w:endnote w:type="continuationSeparator" w:id="0">
    <w:p w14:paraId="028F151B" w14:textId="77777777" w:rsidR="0047704B" w:rsidRDefault="0047704B" w:rsidP="005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8848583"/>
      <w:docPartObj>
        <w:docPartGallery w:val="Page Numbers (Bottom of Page)"/>
        <w:docPartUnique/>
      </w:docPartObj>
    </w:sdtPr>
    <w:sdtEndPr/>
    <w:sdtContent>
      <w:p w14:paraId="7F00CB24" w14:textId="0E2A8C8D" w:rsidR="005709F9" w:rsidRPr="00BD6FC6" w:rsidRDefault="00BD6FC6" w:rsidP="00BD6FC6">
        <w:pPr>
          <w:pStyle w:val="Pieddepage"/>
          <w:jc w:val="center"/>
          <w:rPr>
            <w:sz w:val="18"/>
            <w:szCs w:val="18"/>
          </w:rPr>
        </w:pPr>
        <w:r w:rsidRPr="00BD6FC6">
          <w:rPr>
            <w:sz w:val="18"/>
            <w:szCs w:val="18"/>
          </w:rPr>
          <w:fldChar w:fldCharType="begin"/>
        </w:r>
        <w:r w:rsidRPr="00BD6FC6">
          <w:rPr>
            <w:sz w:val="18"/>
            <w:szCs w:val="18"/>
          </w:rPr>
          <w:instrText>PAGE   \* MERGEFORMAT</w:instrText>
        </w:r>
        <w:r w:rsidRPr="00BD6FC6">
          <w:rPr>
            <w:sz w:val="18"/>
            <w:szCs w:val="18"/>
          </w:rPr>
          <w:fldChar w:fldCharType="separate"/>
        </w:r>
        <w:r w:rsidRPr="00BD6FC6">
          <w:rPr>
            <w:sz w:val="18"/>
            <w:szCs w:val="18"/>
            <w:lang w:val="fr-FR"/>
          </w:rPr>
          <w:t>2</w:t>
        </w:r>
        <w:r w:rsidRPr="00BD6F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CD70" w14:textId="77777777" w:rsidR="0047704B" w:rsidRDefault="0047704B" w:rsidP="005709F9">
      <w:r>
        <w:separator/>
      </w:r>
    </w:p>
  </w:footnote>
  <w:footnote w:type="continuationSeparator" w:id="0">
    <w:p w14:paraId="2A226168" w14:textId="77777777" w:rsidR="0047704B" w:rsidRDefault="0047704B" w:rsidP="0057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FE3" w14:textId="599F5738" w:rsidR="005709F9" w:rsidRDefault="00BD6FC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1D61C" wp14:editId="018218F5">
          <wp:simplePos x="0" y="0"/>
          <wp:positionH relativeFrom="column">
            <wp:posOffset>-915245</wp:posOffset>
          </wp:positionH>
          <wp:positionV relativeFrom="paragraph">
            <wp:posOffset>-460375</wp:posOffset>
          </wp:positionV>
          <wp:extent cx="7771130" cy="10057680"/>
          <wp:effectExtent l="0" t="0" r="1270" b="1270"/>
          <wp:wrapNone/>
          <wp:docPr id="14708490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49014" name="Image 1470849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005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7FE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37196"/>
    <w:multiLevelType w:val="hybridMultilevel"/>
    <w:tmpl w:val="919A2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1819"/>
    <w:multiLevelType w:val="hybridMultilevel"/>
    <w:tmpl w:val="FE1E6CD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B0522"/>
    <w:multiLevelType w:val="hybridMultilevel"/>
    <w:tmpl w:val="2C3C876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5E7584"/>
    <w:multiLevelType w:val="hybridMultilevel"/>
    <w:tmpl w:val="5AC49BEA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AE7F25"/>
    <w:multiLevelType w:val="hybridMultilevel"/>
    <w:tmpl w:val="716CBE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427C9"/>
    <w:multiLevelType w:val="hybridMultilevel"/>
    <w:tmpl w:val="F2126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6469"/>
    <w:multiLevelType w:val="hybridMultilevel"/>
    <w:tmpl w:val="BF6E8A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63EB"/>
    <w:multiLevelType w:val="hybridMultilevel"/>
    <w:tmpl w:val="FAA2C546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D308A"/>
    <w:multiLevelType w:val="hybridMultilevel"/>
    <w:tmpl w:val="C4022B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973"/>
    <w:multiLevelType w:val="hybridMultilevel"/>
    <w:tmpl w:val="EA3E00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31326"/>
    <w:multiLevelType w:val="hybridMultilevel"/>
    <w:tmpl w:val="78B070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12FC"/>
    <w:multiLevelType w:val="hybridMultilevel"/>
    <w:tmpl w:val="EB00E2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135C1"/>
    <w:multiLevelType w:val="multilevel"/>
    <w:tmpl w:val="98660B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14" w15:restartNumberingAfterBreak="0">
    <w:nsid w:val="2CC54AD0"/>
    <w:multiLevelType w:val="hybridMultilevel"/>
    <w:tmpl w:val="B8AC54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D4926"/>
    <w:multiLevelType w:val="hybridMultilevel"/>
    <w:tmpl w:val="063EE8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135A"/>
    <w:multiLevelType w:val="hybridMultilevel"/>
    <w:tmpl w:val="4F62C6B4"/>
    <w:lvl w:ilvl="0" w:tplc="0C0C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7" w15:restartNumberingAfterBreak="0">
    <w:nsid w:val="42D65733"/>
    <w:multiLevelType w:val="hybridMultilevel"/>
    <w:tmpl w:val="F184D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D3467"/>
    <w:multiLevelType w:val="hybridMultilevel"/>
    <w:tmpl w:val="1D34CE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46BA5"/>
    <w:multiLevelType w:val="hybridMultilevel"/>
    <w:tmpl w:val="DBA049AC"/>
    <w:lvl w:ilvl="0" w:tplc="87E6F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E93E9E"/>
    <w:multiLevelType w:val="hybridMultilevel"/>
    <w:tmpl w:val="DCD8D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1320"/>
    <w:multiLevelType w:val="hybridMultilevel"/>
    <w:tmpl w:val="BA5CE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9B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4D6761"/>
    <w:multiLevelType w:val="hybridMultilevel"/>
    <w:tmpl w:val="18D89E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113A8"/>
    <w:multiLevelType w:val="hybridMultilevel"/>
    <w:tmpl w:val="ACC242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6549C"/>
    <w:multiLevelType w:val="hybridMultilevel"/>
    <w:tmpl w:val="39B652E8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FC1486"/>
    <w:multiLevelType w:val="hybridMultilevel"/>
    <w:tmpl w:val="0E3686B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0C32B3"/>
    <w:multiLevelType w:val="hybridMultilevel"/>
    <w:tmpl w:val="9252B81A"/>
    <w:lvl w:ilvl="0" w:tplc="6C02EE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18B2"/>
    <w:multiLevelType w:val="hybridMultilevel"/>
    <w:tmpl w:val="E8A23764"/>
    <w:lvl w:ilvl="0" w:tplc="0C0C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FB14A53"/>
    <w:multiLevelType w:val="hybridMultilevel"/>
    <w:tmpl w:val="0B0AC7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F85BAB"/>
    <w:multiLevelType w:val="multilevel"/>
    <w:tmpl w:val="44D62BC8"/>
    <w:lvl w:ilvl="0">
      <w:start w:val="1"/>
      <w:numFmt w:val="decimal"/>
      <w:pStyle w:val="Titre1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pStyle w:val="Titre2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31" w15:restartNumberingAfterBreak="0">
    <w:nsid w:val="630A32B3"/>
    <w:multiLevelType w:val="hybridMultilevel"/>
    <w:tmpl w:val="72243F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66008"/>
    <w:multiLevelType w:val="hybridMultilevel"/>
    <w:tmpl w:val="C074BC6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776B4"/>
    <w:multiLevelType w:val="hybridMultilevel"/>
    <w:tmpl w:val="7696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682C"/>
    <w:multiLevelType w:val="hybridMultilevel"/>
    <w:tmpl w:val="C42EB462"/>
    <w:lvl w:ilvl="0" w:tplc="607C0380">
      <w:start w:val="1"/>
      <w:numFmt w:val="bullet"/>
      <w:lvlText w:val=""/>
      <w:lvlJc w:val="left"/>
      <w:pPr>
        <w:ind w:left="-172" w:hanging="283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69E8288A"/>
    <w:multiLevelType w:val="hybridMultilevel"/>
    <w:tmpl w:val="CC44C95A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86BD1"/>
    <w:multiLevelType w:val="hybridMultilevel"/>
    <w:tmpl w:val="8D7E9C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249BC"/>
    <w:multiLevelType w:val="hybridMultilevel"/>
    <w:tmpl w:val="E99EF3EE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DB46E5D"/>
    <w:multiLevelType w:val="hybridMultilevel"/>
    <w:tmpl w:val="44DAF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4FA3"/>
    <w:multiLevelType w:val="hybridMultilevel"/>
    <w:tmpl w:val="47F295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20F56"/>
    <w:multiLevelType w:val="hybridMultilevel"/>
    <w:tmpl w:val="97E83E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65876"/>
    <w:multiLevelType w:val="hybridMultilevel"/>
    <w:tmpl w:val="04ACA8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04534">
    <w:abstractNumId w:val="31"/>
  </w:num>
  <w:num w:numId="2" w16cid:durableId="1456362816">
    <w:abstractNumId w:val="27"/>
  </w:num>
  <w:num w:numId="3" w16cid:durableId="1823766472">
    <w:abstractNumId w:val="4"/>
  </w:num>
  <w:num w:numId="4" w16cid:durableId="2124810512">
    <w:abstractNumId w:val="37"/>
  </w:num>
  <w:num w:numId="5" w16cid:durableId="176383743">
    <w:abstractNumId w:val="3"/>
  </w:num>
  <w:num w:numId="6" w16cid:durableId="1486436637">
    <w:abstractNumId w:val="19"/>
  </w:num>
  <w:num w:numId="7" w16cid:durableId="14043233">
    <w:abstractNumId w:val="41"/>
  </w:num>
  <w:num w:numId="8" w16cid:durableId="761142255">
    <w:abstractNumId w:val="26"/>
  </w:num>
  <w:num w:numId="9" w16cid:durableId="1884713787">
    <w:abstractNumId w:val="35"/>
  </w:num>
  <w:num w:numId="10" w16cid:durableId="811218637">
    <w:abstractNumId w:val="8"/>
  </w:num>
  <w:num w:numId="11" w16cid:durableId="730734671">
    <w:abstractNumId w:val="11"/>
  </w:num>
  <w:num w:numId="12" w16cid:durableId="1411075495">
    <w:abstractNumId w:val="25"/>
  </w:num>
  <w:num w:numId="13" w16cid:durableId="1332903510">
    <w:abstractNumId w:val="22"/>
  </w:num>
  <w:num w:numId="14" w16cid:durableId="2049141945">
    <w:abstractNumId w:val="0"/>
  </w:num>
  <w:num w:numId="15" w16cid:durableId="488518730">
    <w:abstractNumId w:val="34"/>
  </w:num>
  <w:num w:numId="16" w16cid:durableId="932863408">
    <w:abstractNumId w:val="2"/>
  </w:num>
  <w:num w:numId="17" w16cid:durableId="1698122134">
    <w:abstractNumId w:val="28"/>
  </w:num>
  <w:num w:numId="18" w16cid:durableId="1176920758">
    <w:abstractNumId w:val="12"/>
  </w:num>
  <w:num w:numId="19" w16cid:durableId="1604457853">
    <w:abstractNumId w:val="39"/>
  </w:num>
  <w:num w:numId="20" w16cid:durableId="266816290">
    <w:abstractNumId w:val="16"/>
  </w:num>
  <w:num w:numId="21" w16cid:durableId="1055155560">
    <w:abstractNumId w:val="23"/>
  </w:num>
  <w:num w:numId="22" w16cid:durableId="559488288">
    <w:abstractNumId w:val="6"/>
  </w:num>
  <w:num w:numId="23" w16cid:durableId="1569532887">
    <w:abstractNumId w:val="5"/>
  </w:num>
  <w:num w:numId="24" w16cid:durableId="139152349">
    <w:abstractNumId w:val="17"/>
  </w:num>
  <w:num w:numId="25" w16cid:durableId="307635341">
    <w:abstractNumId w:val="33"/>
  </w:num>
  <w:num w:numId="26" w16cid:durableId="1062094738">
    <w:abstractNumId w:val="30"/>
  </w:num>
  <w:num w:numId="27" w16cid:durableId="1424034734">
    <w:abstractNumId w:val="36"/>
  </w:num>
  <w:num w:numId="28" w16cid:durableId="1751538865">
    <w:abstractNumId w:val="13"/>
  </w:num>
  <w:num w:numId="29" w16cid:durableId="322663811">
    <w:abstractNumId w:val="40"/>
  </w:num>
  <w:num w:numId="30" w16cid:durableId="612246564">
    <w:abstractNumId w:val="18"/>
  </w:num>
  <w:num w:numId="31" w16cid:durableId="158622126">
    <w:abstractNumId w:val="7"/>
  </w:num>
  <w:num w:numId="32" w16cid:durableId="186018486">
    <w:abstractNumId w:val="1"/>
  </w:num>
  <w:num w:numId="33" w16cid:durableId="38365484">
    <w:abstractNumId w:val="10"/>
  </w:num>
  <w:num w:numId="34" w16cid:durableId="1530800552">
    <w:abstractNumId w:val="21"/>
  </w:num>
  <w:num w:numId="35" w16cid:durableId="1057514766">
    <w:abstractNumId w:val="9"/>
  </w:num>
  <w:num w:numId="36" w16cid:durableId="1620600553">
    <w:abstractNumId w:val="24"/>
  </w:num>
  <w:num w:numId="37" w16cid:durableId="186992756">
    <w:abstractNumId w:val="15"/>
  </w:num>
  <w:num w:numId="38" w16cid:durableId="1745487187">
    <w:abstractNumId w:val="32"/>
  </w:num>
  <w:num w:numId="39" w16cid:durableId="1572931095">
    <w:abstractNumId w:val="29"/>
  </w:num>
  <w:num w:numId="40" w16cid:durableId="1172911163">
    <w:abstractNumId w:val="38"/>
  </w:num>
  <w:num w:numId="41" w16cid:durableId="1623027940">
    <w:abstractNumId w:val="14"/>
  </w:num>
  <w:num w:numId="42" w16cid:durableId="16571434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D1"/>
    <w:rsid w:val="00026D8B"/>
    <w:rsid w:val="000606B4"/>
    <w:rsid w:val="0008055F"/>
    <w:rsid w:val="00080CB5"/>
    <w:rsid w:val="000A19C3"/>
    <w:rsid w:val="000C5ED2"/>
    <w:rsid w:val="000E025C"/>
    <w:rsid w:val="000E3390"/>
    <w:rsid w:val="000F2E16"/>
    <w:rsid w:val="001005D1"/>
    <w:rsid w:val="00103F02"/>
    <w:rsid w:val="001067A7"/>
    <w:rsid w:val="00132DA4"/>
    <w:rsid w:val="00146AB8"/>
    <w:rsid w:val="001700F1"/>
    <w:rsid w:val="0018154E"/>
    <w:rsid w:val="00181A0D"/>
    <w:rsid w:val="00187E99"/>
    <w:rsid w:val="001B63F0"/>
    <w:rsid w:val="001C6887"/>
    <w:rsid w:val="001D33A5"/>
    <w:rsid w:val="001E773E"/>
    <w:rsid w:val="00207A07"/>
    <w:rsid w:val="00215F02"/>
    <w:rsid w:val="0024011D"/>
    <w:rsid w:val="00255A1E"/>
    <w:rsid w:val="00256854"/>
    <w:rsid w:val="00257C40"/>
    <w:rsid w:val="00280404"/>
    <w:rsid w:val="00284535"/>
    <w:rsid w:val="00286D9E"/>
    <w:rsid w:val="00287122"/>
    <w:rsid w:val="00287594"/>
    <w:rsid w:val="002A0787"/>
    <w:rsid w:val="002A39CE"/>
    <w:rsid w:val="002B440A"/>
    <w:rsid w:val="002B4F76"/>
    <w:rsid w:val="002B72F2"/>
    <w:rsid w:val="002C1EBE"/>
    <w:rsid w:val="002F2228"/>
    <w:rsid w:val="00312EFC"/>
    <w:rsid w:val="00332F42"/>
    <w:rsid w:val="00344BD8"/>
    <w:rsid w:val="0034717C"/>
    <w:rsid w:val="0037089C"/>
    <w:rsid w:val="00371DAB"/>
    <w:rsid w:val="0037235D"/>
    <w:rsid w:val="0038355B"/>
    <w:rsid w:val="003B41EC"/>
    <w:rsid w:val="003E19A1"/>
    <w:rsid w:val="003E5149"/>
    <w:rsid w:val="003E7FC8"/>
    <w:rsid w:val="003F0EA7"/>
    <w:rsid w:val="00406D5F"/>
    <w:rsid w:val="00444E3C"/>
    <w:rsid w:val="0044602F"/>
    <w:rsid w:val="00446A9E"/>
    <w:rsid w:val="0045175A"/>
    <w:rsid w:val="00467B5A"/>
    <w:rsid w:val="00472690"/>
    <w:rsid w:val="0047704B"/>
    <w:rsid w:val="00477573"/>
    <w:rsid w:val="004A7EC8"/>
    <w:rsid w:val="004B2B62"/>
    <w:rsid w:val="004D5D45"/>
    <w:rsid w:val="004F1B67"/>
    <w:rsid w:val="005053C4"/>
    <w:rsid w:val="00506773"/>
    <w:rsid w:val="0053114E"/>
    <w:rsid w:val="00532A2D"/>
    <w:rsid w:val="00546E82"/>
    <w:rsid w:val="00553FF3"/>
    <w:rsid w:val="0055707D"/>
    <w:rsid w:val="005709F9"/>
    <w:rsid w:val="00571E76"/>
    <w:rsid w:val="005A2E48"/>
    <w:rsid w:val="005E149E"/>
    <w:rsid w:val="006012A0"/>
    <w:rsid w:val="00615A91"/>
    <w:rsid w:val="00620BBE"/>
    <w:rsid w:val="00631DB4"/>
    <w:rsid w:val="0064328C"/>
    <w:rsid w:val="006461B2"/>
    <w:rsid w:val="0064733B"/>
    <w:rsid w:val="00697A2E"/>
    <w:rsid w:val="006E2CC5"/>
    <w:rsid w:val="0070208A"/>
    <w:rsid w:val="0070412B"/>
    <w:rsid w:val="0070786F"/>
    <w:rsid w:val="00730066"/>
    <w:rsid w:val="00744C4F"/>
    <w:rsid w:val="00763117"/>
    <w:rsid w:val="007A43EF"/>
    <w:rsid w:val="007A4FE5"/>
    <w:rsid w:val="007C4B59"/>
    <w:rsid w:val="007C571A"/>
    <w:rsid w:val="007D1793"/>
    <w:rsid w:val="008362E0"/>
    <w:rsid w:val="0084147F"/>
    <w:rsid w:val="008646DD"/>
    <w:rsid w:val="00867580"/>
    <w:rsid w:val="008773AE"/>
    <w:rsid w:val="00881976"/>
    <w:rsid w:val="00890C01"/>
    <w:rsid w:val="00892EB1"/>
    <w:rsid w:val="00893755"/>
    <w:rsid w:val="008D0322"/>
    <w:rsid w:val="008D3D42"/>
    <w:rsid w:val="008E0271"/>
    <w:rsid w:val="008E596D"/>
    <w:rsid w:val="00903ED2"/>
    <w:rsid w:val="0092460F"/>
    <w:rsid w:val="00951792"/>
    <w:rsid w:val="00951FE8"/>
    <w:rsid w:val="009574F8"/>
    <w:rsid w:val="00957CC2"/>
    <w:rsid w:val="00965833"/>
    <w:rsid w:val="00972CC5"/>
    <w:rsid w:val="0097354D"/>
    <w:rsid w:val="009863DB"/>
    <w:rsid w:val="0099104A"/>
    <w:rsid w:val="009A036B"/>
    <w:rsid w:val="009E5D3A"/>
    <w:rsid w:val="009F1CBB"/>
    <w:rsid w:val="009F44EC"/>
    <w:rsid w:val="009F7D5C"/>
    <w:rsid w:val="00A02A94"/>
    <w:rsid w:val="00A33EE4"/>
    <w:rsid w:val="00A4528B"/>
    <w:rsid w:val="00A8045C"/>
    <w:rsid w:val="00AA463C"/>
    <w:rsid w:val="00AC3E9C"/>
    <w:rsid w:val="00AD33D5"/>
    <w:rsid w:val="00AE31EF"/>
    <w:rsid w:val="00AF633E"/>
    <w:rsid w:val="00B07DAE"/>
    <w:rsid w:val="00B253AD"/>
    <w:rsid w:val="00B30148"/>
    <w:rsid w:val="00B34696"/>
    <w:rsid w:val="00B37CE4"/>
    <w:rsid w:val="00B554F5"/>
    <w:rsid w:val="00B61275"/>
    <w:rsid w:val="00B62D3D"/>
    <w:rsid w:val="00BB2872"/>
    <w:rsid w:val="00BB688B"/>
    <w:rsid w:val="00BB7BE3"/>
    <w:rsid w:val="00BC3282"/>
    <w:rsid w:val="00BD097D"/>
    <w:rsid w:val="00BD6709"/>
    <w:rsid w:val="00BD6FC6"/>
    <w:rsid w:val="00BE11C5"/>
    <w:rsid w:val="00BE2BF5"/>
    <w:rsid w:val="00BE7D42"/>
    <w:rsid w:val="00C06325"/>
    <w:rsid w:val="00C35C56"/>
    <w:rsid w:val="00C441F2"/>
    <w:rsid w:val="00C44D0B"/>
    <w:rsid w:val="00C56200"/>
    <w:rsid w:val="00C73339"/>
    <w:rsid w:val="00C74D22"/>
    <w:rsid w:val="00C8228B"/>
    <w:rsid w:val="00C85CE2"/>
    <w:rsid w:val="00C87F2C"/>
    <w:rsid w:val="00C911FD"/>
    <w:rsid w:val="00CA7A5D"/>
    <w:rsid w:val="00CD3413"/>
    <w:rsid w:val="00CD410A"/>
    <w:rsid w:val="00D0283B"/>
    <w:rsid w:val="00D25E9A"/>
    <w:rsid w:val="00D414E5"/>
    <w:rsid w:val="00D539D6"/>
    <w:rsid w:val="00D80224"/>
    <w:rsid w:val="00D926E0"/>
    <w:rsid w:val="00D956E4"/>
    <w:rsid w:val="00DB6E92"/>
    <w:rsid w:val="00DC13C7"/>
    <w:rsid w:val="00DD709C"/>
    <w:rsid w:val="00DF5ED2"/>
    <w:rsid w:val="00E03737"/>
    <w:rsid w:val="00E11619"/>
    <w:rsid w:val="00E479E4"/>
    <w:rsid w:val="00E51976"/>
    <w:rsid w:val="00E804C5"/>
    <w:rsid w:val="00E86D41"/>
    <w:rsid w:val="00E957C1"/>
    <w:rsid w:val="00EC0362"/>
    <w:rsid w:val="00EC2F3A"/>
    <w:rsid w:val="00EC4EA7"/>
    <w:rsid w:val="00ED1729"/>
    <w:rsid w:val="00ED1F3B"/>
    <w:rsid w:val="00ED7BE1"/>
    <w:rsid w:val="00EE2C2D"/>
    <w:rsid w:val="00EF7BFC"/>
    <w:rsid w:val="00F33729"/>
    <w:rsid w:val="00F36BDD"/>
    <w:rsid w:val="00F40763"/>
    <w:rsid w:val="00F441BF"/>
    <w:rsid w:val="00F57D44"/>
    <w:rsid w:val="00F72DDF"/>
    <w:rsid w:val="00F75693"/>
    <w:rsid w:val="00F86900"/>
    <w:rsid w:val="00FA461D"/>
    <w:rsid w:val="00FE0EB4"/>
    <w:rsid w:val="00FE3E79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5BB04"/>
  <w15:chartTrackingRefBased/>
  <w15:docId w15:val="{07EE9DEE-685E-4799-9A3D-1575052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C6"/>
    <w:pPr>
      <w:spacing w:after="0" w:line="240" w:lineRule="auto"/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6FC6"/>
    <w:pPr>
      <w:keepNext/>
      <w:keepLines/>
      <w:numPr>
        <w:numId w:val="26"/>
      </w:numPr>
      <w:spacing w:before="240" w:after="120"/>
      <w:outlineLvl w:val="0"/>
    </w:pPr>
    <w:rPr>
      <w:rFonts w:cs="Calibri"/>
      <w:b/>
      <w:bCs/>
      <w:caps/>
      <w:sz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FC6"/>
    <w:pPr>
      <w:keepNext/>
      <w:keepLines/>
      <w:numPr>
        <w:ilvl w:val="1"/>
        <w:numId w:val="26"/>
      </w:numPr>
      <w:spacing w:before="160" w:after="80"/>
      <w:outlineLvl w:val="1"/>
    </w:pPr>
    <w:rPr>
      <w:rFonts w:eastAsiaTheme="majorEastAsia" w:cs="Calibri"/>
      <w:b/>
      <w:bCs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0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0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0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0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FC6"/>
    <w:rPr>
      <w:rFonts w:ascii="Calibri" w:hAnsi="Calibri" w:cs="Calibri"/>
      <w:b/>
      <w:bCs/>
      <w:caps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D6FC6"/>
    <w:rPr>
      <w:rFonts w:ascii="Calibri" w:eastAsiaTheme="majorEastAsia" w:hAnsi="Calibri" w:cs="Calibr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0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05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05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05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05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05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05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0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05D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005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05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05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05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en">
    <w:name w:val="Hyperlink"/>
    <w:basedOn w:val="Policepardfaut"/>
    <w:uiPriority w:val="99"/>
    <w:unhideWhenUsed/>
    <w:rsid w:val="004460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602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709F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709F9"/>
  </w:style>
  <w:style w:type="paragraph" w:styleId="Pieddepage">
    <w:name w:val="footer"/>
    <w:basedOn w:val="Normal"/>
    <w:link w:val="PieddepageCar"/>
    <w:uiPriority w:val="99"/>
    <w:unhideWhenUsed/>
    <w:rsid w:val="005709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09F9"/>
  </w:style>
  <w:style w:type="character" w:styleId="Marquedecommentaire">
    <w:name w:val="annotation reference"/>
    <w:basedOn w:val="Policepardfaut"/>
    <w:uiPriority w:val="99"/>
    <w:semiHidden/>
    <w:unhideWhenUsed/>
    <w:rsid w:val="00080C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0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0CB5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0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0CB5"/>
    <w:rPr>
      <w:rFonts w:ascii="Calibri" w:hAnsi="Calibri"/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E5D3A"/>
    <w:rPr>
      <w:rFonts w:ascii="Calibri" w:hAnsi="Calibri"/>
      <w:sz w:val="22"/>
    </w:rPr>
  </w:style>
  <w:style w:type="table" w:styleId="Grilledutableau">
    <w:name w:val="Table Grid"/>
    <w:basedOn w:val="TableauNormal"/>
    <w:uiPriority w:val="59"/>
    <w:rsid w:val="00903E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57C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fr-CA"/>
      <w14:ligatures w14:val="none"/>
    </w:rPr>
  </w:style>
  <w:style w:type="character" w:customStyle="1" w:styleId="cf01">
    <w:name w:val="cf01"/>
    <w:basedOn w:val="Policepardfaut"/>
    <w:rsid w:val="00257C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itoire@mrcdesappalaches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erritoire@mrcdesappalach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CEA107F88C4FA025A28201F65003" ma:contentTypeVersion="17" ma:contentTypeDescription="Crée un document." ma:contentTypeScope="" ma:versionID="a7caee15897ad94b60e16babbc8fb9ff">
  <xsd:schema xmlns:xsd="http://www.w3.org/2001/XMLSchema" xmlns:xs="http://www.w3.org/2001/XMLSchema" xmlns:p="http://schemas.microsoft.com/office/2006/metadata/properties" xmlns:ns3="b98969d1-56c4-499f-b94d-7b2a39ba252c" xmlns:ns4="2714e624-3ff8-47fd-9e05-f95e4693a97d" targetNamespace="http://schemas.microsoft.com/office/2006/metadata/properties" ma:root="true" ma:fieldsID="34a1462266d112f505170a9a36b730e7" ns3:_="" ns4:_="">
    <xsd:import namespace="b98969d1-56c4-499f-b94d-7b2a39ba252c"/>
    <xsd:import namespace="2714e624-3ff8-47fd-9e05-f95e4693a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69d1-56c4-499f-b94d-7b2a39ba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4e624-3ff8-47fd-9e05-f95e469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8969d1-56c4-499f-b94d-7b2a39ba25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0DD12-78B4-4BC8-977A-E6FCF855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969d1-56c4-499f-b94d-7b2a39ba252c"/>
    <ds:schemaRef ds:uri="2714e624-3ff8-47fd-9e05-f95e4693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56DA7-B887-4A9E-A395-54A88136AFE5}">
  <ds:schemaRefs>
    <ds:schemaRef ds:uri="http://schemas.microsoft.com/office/2006/metadata/properties"/>
    <ds:schemaRef ds:uri="http://schemas.microsoft.com/office/infopath/2007/PartnerControls"/>
    <ds:schemaRef ds:uri="b98969d1-56c4-499f-b94d-7b2a39ba252c"/>
  </ds:schemaRefs>
</ds:datastoreItem>
</file>

<file path=customXml/itemProps3.xml><?xml version="1.0" encoding="utf-8"?>
<ds:datastoreItem xmlns:ds="http://schemas.openxmlformats.org/officeDocument/2006/customXml" ds:itemID="{EE1C9408-B714-4B29-933D-0078BCD2C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1556</Words>
  <Characters>9232</Characters>
  <Application>Microsoft Office Word</Application>
  <DocSecurity>0</DocSecurity>
  <Lines>197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Lachance</dc:creator>
  <cp:keywords/>
  <dc:description/>
  <cp:lastModifiedBy>Catherine Lachance</cp:lastModifiedBy>
  <cp:revision>3</cp:revision>
  <cp:lastPrinted>2026-03-19T20:15:00Z</cp:lastPrinted>
  <dcterms:created xsi:type="dcterms:W3CDTF">2026-04-07T14:46:00Z</dcterms:created>
  <dcterms:modified xsi:type="dcterms:W3CDTF">2026-04-07T15:09:00Z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0x010100BC22CEA107F88C4FA025A28201F65003</vt:lpwstr>
  </property>
</Properties>
</file>